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19" w:rsidRPr="008C2C19" w:rsidRDefault="008C2C19" w:rsidP="008C2C19">
      <w:pPr>
        <w:jc w:val="both"/>
        <w:rPr>
          <w:rFonts w:ascii="Helvetica" w:hAnsi="Helvetica"/>
          <w:b/>
          <w:sz w:val="36"/>
          <w:szCs w:val="36"/>
        </w:rPr>
      </w:pPr>
      <w:bookmarkStart w:id="0" w:name="_GoBack"/>
      <w:bookmarkEnd w:id="0"/>
      <w:r w:rsidRPr="008C2C19">
        <w:rPr>
          <w:rFonts w:ascii="Helvetica" w:hAnsi="Helvetica"/>
          <w:b/>
          <w:sz w:val="36"/>
          <w:szCs w:val="36"/>
        </w:rPr>
        <w:t xml:space="preserve">Case Brief </w:t>
      </w:r>
      <w:r w:rsidR="00B53997">
        <w:rPr>
          <w:rFonts w:ascii="Helvetica" w:hAnsi="Helvetica"/>
          <w:b/>
          <w:sz w:val="36"/>
          <w:szCs w:val="36"/>
        </w:rPr>
        <w:t>–</w:t>
      </w:r>
      <w:r w:rsidRPr="008C2C19">
        <w:rPr>
          <w:rFonts w:ascii="Helvetica" w:hAnsi="Helvetica"/>
          <w:b/>
          <w:sz w:val="36"/>
          <w:szCs w:val="36"/>
        </w:rPr>
        <w:t xml:space="preserve"> </w:t>
      </w:r>
      <w:r w:rsidR="00B53997">
        <w:rPr>
          <w:rFonts w:ascii="Helvetica" w:hAnsi="Helvetica"/>
          <w:b/>
          <w:i/>
          <w:sz w:val="36"/>
          <w:szCs w:val="36"/>
        </w:rPr>
        <w:t>Ktunaxa Nation v. British Columbia (Ministry of Forests, Lands and Natural Resource Operations), 2015 BCCA 352</w:t>
      </w:r>
    </w:p>
    <w:p w:rsidR="008C2C19" w:rsidRPr="008C2C19" w:rsidRDefault="008C2C19" w:rsidP="008C2C19">
      <w:pPr>
        <w:jc w:val="both"/>
        <w:rPr>
          <w:rFonts w:ascii="Helvetica" w:hAnsi="Helvetica"/>
          <w:bCs/>
          <w:color w:val="141823"/>
          <w:sz w:val="16"/>
          <w:szCs w:val="16"/>
          <w:lang w:eastAsia="en-CA"/>
        </w:rPr>
      </w:pPr>
    </w:p>
    <w:p w:rsidR="008C2C19" w:rsidRPr="008C2C19" w:rsidRDefault="008C2C19" w:rsidP="008C2C19">
      <w:pPr>
        <w:jc w:val="both"/>
        <w:rPr>
          <w:rFonts w:ascii="Helvetica" w:hAnsi="Helvetica"/>
          <w:bCs/>
          <w:color w:val="141823"/>
          <w:sz w:val="16"/>
          <w:szCs w:val="16"/>
          <w:lang w:eastAsia="en-CA"/>
        </w:rPr>
      </w:pPr>
      <w:r w:rsidRPr="008C2C19">
        <w:rPr>
          <w:rFonts w:ascii="Helvetica" w:hAnsi="Helvetica"/>
          <w:bCs/>
          <w:color w:val="141823"/>
          <w:sz w:val="16"/>
          <w:szCs w:val="16"/>
          <w:lang w:eastAsia="en-CA"/>
        </w:rPr>
        <w:t>By: Caitlin Mason</w:t>
      </w:r>
    </w:p>
    <w:p w:rsidR="008C2C19" w:rsidRPr="008C2C19" w:rsidRDefault="008C2C19" w:rsidP="008C2C19">
      <w:pPr>
        <w:jc w:val="both"/>
        <w:rPr>
          <w:rFonts w:ascii="Helvetica" w:hAnsi="Helvetica"/>
          <w:b/>
          <w:u w:val="single"/>
        </w:rPr>
      </w:pPr>
    </w:p>
    <w:p w:rsidR="00AB3C73" w:rsidRDefault="009976F4" w:rsidP="00C762D3">
      <w:pPr>
        <w:jc w:val="both"/>
        <w:rPr>
          <w:rFonts w:ascii="Helvetica" w:hAnsi="Helvetica"/>
          <w:sz w:val="21"/>
          <w:szCs w:val="21"/>
        </w:rPr>
      </w:pPr>
      <w:r>
        <w:rPr>
          <w:rFonts w:ascii="Helvetica" w:hAnsi="Helvetica"/>
          <w:sz w:val="21"/>
          <w:szCs w:val="21"/>
        </w:rPr>
        <w:t>Recently,</w:t>
      </w:r>
      <w:r w:rsidR="00AB3C73">
        <w:rPr>
          <w:rFonts w:ascii="Helvetica" w:hAnsi="Helvetica"/>
          <w:sz w:val="21"/>
          <w:szCs w:val="21"/>
        </w:rPr>
        <w:t xml:space="preserve"> the BC Court of Appeal</w:t>
      </w:r>
      <w:r w:rsidR="005F336C">
        <w:rPr>
          <w:rFonts w:ascii="Helvetica" w:hAnsi="Helvetica"/>
          <w:sz w:val="21"/>
          <w:szCs w:val="21"/>
        </w:rPr>
        <w:t xml:space="preserve"> (“BCCA”)</w:t>
      </w:r>
      <w:r w:rsidR="00AB3C73">
        <w:rPr>
          <w:rFonts w:ascii="Helvetica" w:hAnsi="Helvetica"/>
          <w:sz w:val="21"/>
          <w:szCs w:val="21"/>
        </w:rPr>
        <w:t xml:space="preserve"> dismissed </w:t>
      </w:r>
      <w:proofErr w:type="spellStart"/>
      <w:r w:rsidR="00AB3C73">
        <w:rPr>
          <w:rFonts w:ascii="Helvetica" w:hAnsi="Helvetica"/>
          <w:sz w:val="21"/>
          <w:szCs w:val="21"/>
        </w:rPr>
        <w:t>Ktunaxa</w:t>
      </w:r>
      <w:proofErr w:type="spellEnd"/>
      <w:r w:rsidR="00AB3C73">
        <w:rPr>
          <w:rFonts w:ascii="Helvetica" w:hAnsi="Helvetica"/>
          <w:sz w:val="21"/>
          <w:szCs w:val="21"/>
        </w:rPr>
        <w:t xml:space="preserve"> Nation’s (</w:t>
      </w:r>
      <w:r w:rsidR="008A5476">
        <w:rPr>
          <w:rFonts w:ascii="Helvetica" w:hAnsi="Helvetica"/>
          <w:sz w:val="21"/>
          <w:szCs w:val="21"/>
        </w:rPr>
        <w:t xml:space="preserve">the </w:t>
      </w:r>
      <w:r w:rsidR="00AB3C73">
        <w:rPr>
          <w:rFonts w:ascii="Helvetica" w:hAnsi="Helvetica"/>
          <w:sz w:val="21"/>
          <w:szCs w:val="21"/>
        </w:rPr>
        <w:t>“</w:t>
      </w:r>
      <w:proofErr w:type="spellStart"/>
      <w:r w:rsidR="00AB3C73">
        <w:rPr>
          <w:rFonts w:ascii="Helvetica" w:hAnsi="Helvetica"/>
          <w:sz w:val="21"/>
          <w:szCs w:val="21"/>
        </w:rPr>
        <w:t>Ktunaxa</w:t>
      </w:r>
      <w:proofErr w:type="spellEnd"/>
      <w:r w:rsidR="00AB3C73">
        <w:rPr>
          <w:rFonts w:ascii="Helvetica" w:hAnsi="Helvetica"/>
          <w:sz w:val="21"/>
          <w:szCs w:val="21"/>
        </w:rPr>
        <w:t>”) appeal for judicial review of the Minister of Forests, Lands and Natural Resource Operations (the “Minister”) to approve a Master Development Agreement with Glacier Resorts Ltd. for a year-round ski re</w:t>
      </w:r>
      <w:r w:rsidR="00C762D3">
        <w:rPr>
          <w:rFonts w:ascii="Helvetica" w:hAnsi="Helvetica"/>
          <w:sz w:val="21"/>
          <w:szCs w:val="21"/>
        </w:rPr>
        <w:t>s</w:t>
      </w:r>
      <w:r w:rsidR="00AB3C73">
        <w:rPr>
          <w:rFonts w:ascii="Helvetica" w:hAnsi="Helvetica"/>
          <w:sz w:val="21"/>
          <w:szCs w:val="21"/>
        </w:rPr>
        <w:t xml:space="preserve">ort in the Jumbo Valley. </w:t>
      </w:r>
      <w:r w:rsidR="00C762D3">
        <w:rPr>
          <w:rFonts w:ascii="Helvetica" w:hAnsi="Helvetica"/>
          <w:sz w:val="21"/>
          <w:szCs w:val="21"/>
        </w:rPr>
        <w:t xml:space="preserve">Ktunaxa </w:t>
      </w:r>
      <w:r w:rsidR="00C762D3" w:rsidRPr="00C762D3">
        <w:rPr>
          <w:rFonts w:ascii="Helvetica" w:hAnsi="Helvetica"/>
          <w:sz w:val="21"/>
          <w:szCs w:val="21"/>
        </w:rPr>
        <w:t>claimed that the proposed resort lies at the heart of a sacred area of paramount significance called Qat’muk,</w:t>
      </w:r>
      <w:r w:rsidR="005A4900">
        <w:rPr>
          <w:rFonts w:ascii="Helvetica" w:hAnsi="Helvetica"/>
          <w:sz w:val="21"/>
          <w:szCs w:val="21"/>
        </w:rPr>
        <w:t xml:space="preserve"> which is the Grizzly Bear Spirit’s </w:t>
      </w:r>
      <w:r w:rsidR="00C762D3" w:rsidRPr="00C762D3">
        <w:rPr>
          <w:rFonts w:ascii="Helvetica" w:hAnsi="Helvetica"/>
          <w:sz w:val="21"/>
          <w:szCs w:val="21"/>
        </w:rPr>
        <w:t xml:space="preserve">home.  </w:t>
      </w:r>
      <w:r w:rsidR="00C762D3">
        <w:rPr>
          <w:rFonts w:ascii="Helvetica" w:hAnsi="Helvetica"/>
          <w:sz w:val="21"/>
          <w:szCs w:val="21"/>
        </w:rPr>
        <w:t>According the Ktunaxa, p</w:t>
      </w:r>
      <w:r w:rsidR="00C762D3" w:rsidRPr="00C762D3">
        <w:rPr>
          <w:rFonts w:ascii="Helvetica" w:hAnsi="Helvetica"/>
          <w:sz w:val="21"/>
          <w:szCs w:val="21"/>
        </w:rPr>
        <w:t xml:space="preserve">ermanent human occupation of Qat’muk would </w:t>
      </w:r>
      <w:r w:rsidR="00C762D3">
        <w:rPr>
          <w:rFonts w:ascii="Helvetica" w:hAnsi="Helvetica"/>
          <w:sz w:val="21"/>
          <w:szCs w:val="21"/>
        </w:rPr>
        <w:t>constitute a desecration, which would irreparably harm their relationship to the Grizzly Bear Spirit. Th</w:t>
      </w:r>
      <w:r w:rsidR="005A4900">
        <w:rPr>
          <w:rFonts w:ascii="Helvetica" w:hAnsi="Helvetica"/>
          <w:sz w:val="21"/>
          <w:szCs w:val="21"/>
        </w:rPr>
        <w:t>e Ktunax</w:t>
      </w:r>
      <w:r w:rsidR="00C762D3">
        <w:rPr>
          <w:rFonts w:ascii="Helvetica" w:hAnsi="Helvetica"/>
          <w:sz w:val="21"/>
          <w:szCs w:val="21"/>
        </w:rPr>
        <w:t>a</w:t>
      </w:r>
      <w:r w:rsidR="005A4900">
        <w:rPr>
          <w:rFonts w:ascii="Helvetica" w:hAnsi="Helvetica"/>
          <w:sz w:val="21"/>
          <w:szCs w:val="21"/>
        </w:rPr>
        <w:t xml:space="preserve"> claimed </w:t>
      </w:r>
      <w:r w:rsidR="00C762D3">
        <w:rPr>
          <w:rFonts w:ascii="Helvetica" w:hAnsi="Helvetica"/>
          <w:sz w:val="21"/>
          <w:szCs w:val="21"/>
        </w:rPr>
        <w:t>their rituals and song</w:t>
      </w:r>
      <w:r w:rsidR="00FE0F6E">
        <w:rPr>
          <w:rFonts w:ascii="Helvetica" w:hAnsi="Helvetica"/>
          <w:sz w:val="21"/>
          <w:szCs w:val="21"/>
        </w:rPr>
        <w:t>s</w:t>
      </w:r>
      <w:r w:rsidR="00C762D3">
        <w:rPr>
          <w:rFonts w:ascii="Helvetica" w:hAnsi="Helvetica"/>
          <w:sz w:val="21"/>
          <w:szCs w:val="21"/>
        </w:rPr>
        <w:t xml:space="preserve"> about the Grizzly Bear Spirit would become meaningless</w:t>
      </w:r>
      <w:r w:rsidR="005A4900">
        <w:rPr>
          <w:rFonts w:ascii="Helvetica" w:hAnsi="Helvetica"/>
          <w:sz w:val="21"/>
          <w:szCs w:val="21"/>
        </w:rPr>
        <w:t xml:space="preserve"> if the proposed resort were to go ahead</w:t>
      </w:r>
      <w:r w:rsidR="00C762D3">
        <w:rPr>
          <w:rFonts w:ascii="Helvetica" w:hAnsi="Helvetica"/>
          <w:sz w:val="21"/>
          <w:szCs w:val="21"/>
        </w:rPr>
        <w:t>.</w:t>
      </w:r>
      <w:r w:rsidR="00C762D3">
        <w:rPr>
          <w:rStyle w:val="FootnoteReference"/>
          <w:rFonts w:ascii="Helvetica" w:hAnsi="Helvetica"/>
          <w:sz w:val="21"/>
          <w:szCs w:val="21"/>
        </w:rPr>
        <w:footnoteReference w:id="1"/>
      </w:r>
      <w:r w:rsidR="000123F0">
        <w:rPr>
          <w:rFonts w:ascii="Helvetica" w:hAnsi="Helvetica"/>
          <w:sz w:val="21"/>
          <w:szCs w:val="21"/>
        </w:rPr>
        <w:t xml:space="preserve"> The </w:t>
      </w:r>
      <w:r w:rsidR="00AB3C73">
        <w:rPr>
          <w:rFonts w:ascii="Helvetica" w:hAnsi="Helvetica"/>
          <w:sz w:val="21"/>
          <w:szCs w:val="21"/>
        </w:rPr>
        <w:t xml:space="preserve">Ktunaxa asserted that the Minister violated their freedom of religion guaranteed under s.2(a) of the Charter of Rights and Freedoms (the “Charter”) and breached his duty to </w:t>
      </w:r>
      <w:r w:rsidR="005F336C">
        <w:rPr>
          <w:rFonts w:ascii="Helvetica" w:hAnsi="Helvetica"/>
          <w:sz w:val="21"/>
          <w:szCs w:val="21"/>
        </w:rPr>
        <w:t xml:space="preserve">consult and accommodate </w:t>
      </w:r>
      <w:r w:rsidR="00FE0F6E">
        <w:rPr>
          <w:rFonts w:ascii="Helvetica" w:hAnsi="Helvetica"/>
          <w:sz w:val="21"/>
          <w:szCs w:val="21"/>
        </w:rPr>
        <w:t xml:space="preserve">the </w:t>
      </w:r>
      <w:r w:rsidR="005F336C">
        <w:rPr>
          <w:rFonts w:ascii="Helvetica" w:hAnsi="Helvetica"/>
          <w:sz w:val="21"/>
          <w:szCs w:val="21"/>
        </w:rPr>
        <w:t xml:space="preserve">Ktunaxa by failing to properly consider the scared significance of the Jumbo Valley. </w:t>
      </w:r>
    </w:p>
    <w:p w:rsidR="005A4900" w:rsidRDefault="005A4900" w:rsidP="00C762D3">
      <w:pPr>
        <w:jc w:val="both"/>
        <w:rPr>
          <w:rFonts w:ascii="Helvetica" w:hAnsi="Helvetica"/>
          <w:sz w:val="21"/>
          <w:szCs w:val="21"/>
        </w:rPr>
      </w:pPr>
    </w:p>
    <w:p w:rsidR="00AB3C73" w:rsidRDefault="005A4900" w:rsidP="00C762D3">
      <w:pPr>
        <w:jc w:val="both"/>
        <w:rPr>
          <w:rFonts w:ascii="Helvetica" w:hAnsi="Helvetica"/>
          <w:sz w:val="21"/>
          <w:szCs w:val="21"/>
        </w:rPr>
      </w:pPr>
      <w:r>
        <w:rPr>
          <w:rFonts w:ascii="Helvetica" w:hAnsi="Helvetica"/>
          <w:sz w:val="21"/>
          <w:szCs w:val="21"/>
        </w:rPr>
        <w:t xml:space="preserve">The </w:t>
      </w:r>
      <w:r w:rsidR="00AB3C73">
        <w:rPr>
          <w:rFonts w:ascii="Helvetica" w:hAnsi="Helvetica"/>
          <w:sz w:val="21"/>
          <w:szCs w:val="21"/>
        </w:rPr>
        <w:t xml:space="preserve">chambers judge dismissed </w:t>
      </w:r>
      <w:r w:rsidR="00FE0F6E">
        <w:rPr>
          <w:rFonts w:ascii="Helvetica" w:hAnsi="Helvetica"/>
          <w:sz w:val="21"/>
          <w:szCs w:val="21"/>
        </w:rPr>
        <w:t xml:space="preserve">the </w:t>
      </w:r>
      <w:r w:rsidR="00AB3C73">
        <w:rPr>
          <w:rFonts w:ascii="Helvetica" w:hAnsi="Helvetica"/>
          <w:sz w:val="21"/>
          <w:szCs w:val="21"/>
        </w:rPr>
        <w:t xml:space="preserve">Ktunaxa’s petition on the basis that </w:t>
      </w:r>
      <w:r w:rsidR="00C762D3">
        <w:rPr>
          <w:rFonts w:ascii="Helvetica" w:hAnsi="Helvetica"/>
          <w:sz w:val="21"/>
          <w:szCs w:val="21"/>
        </w:rPr>
        <w:t>s.2(a) of the Charter “did not confer a right to restrict the otherwise lawful use of land on the basis that such use would result in a loss of meaning to religious practices carried on elsewhere” and that the process of consultation and accommodation carried out was reasonable.</w:t>
      </w:r>
      <w:r w:rsidR="00C762D3">
        <w:rPr>
          <w:rStyle w:val="FootnoteReference"/>
          <w:rFonts w:ascii="Helvetica" w:hAnsi="Helvetica"/>
          <w:sz w:val="21"/>
          <w:szCs w:val="21"/>
        </w:rPr>
        <w:footnoteReference w:id="2"/>
      </w:r>
      <w:r w:rsidR="00C762D3">
        <w:rPr>
          <w:rFonts w:ascii="Helvetica" w:hAnsi="Helvetica"/>
          <w:sz w:val="21"/>
          <w:szCs w:val="21"/>
        </w:rPr>
        <w:t xml:space="preserve"> Ktunaxa appealed both findings. </w:t>
      </w:r>
    </w:p>
    <w:p w:rsidR="005A4900" w:rsidRDefault="005A4900" w:rsidP="00C762D3">
      <w:pPr>
        <w:jc w:val="both"/>
        <w:rPr>
          <w:rFonts w:ascii="Helvetica" w:hAnsi="Helvetica"/>
          <w:sz w:val="21"/>
          <w:szCs w:val="21"/>
        </w:rPr>
      </w:pPr>
    </w:p>
    <w:p w:rsidR="005A4900" w:rsidRDefault="005A4900" w:rsidP="00C762D3">
      <w:pPr>
        <w:jc w:val="both"/>
        <w:rPr>
          <w:rFonts w:ascii="Helvetica" w:hAnsi="Helvetica"/>
          <w:b/>
          <w:sz w:val="21"/>
          <w:szCs w:val="21"/>
        </w:rPr>
      </w:pPr>
      <w:r>
        <w:rPr>
          <w:rFonts w:ascii="Helvetica" w:hAnsi="Helvetica"/>
          <w:b/>
          <w:sz w:val="21"/>
          <w:szCs w:val="21"/>
        </w:rPr>
        <w:t>The Appeal</w:t>
      </w:r>
    </w:p>
    <w:p w:rsidR="005A4900" w:rsidRDefault="005A4900" w:rsidP="00C762D3">
      <w:pPr>
        <w:jc w:val="both"/>
        <w:rPr>
          <w:rFonts w:ascii="Helvetica" w:hAnsi="Helvetica"/>
          <w:b/>
          <w:sz w:val="21"/>
          <w:szCs w:val="21"/>
        </w:rPr>
      </w:pPr>
    </w:p>
    <w:p w:rsidR="005A4900" w:rsidRPr="005A4900" w:rsidRDefault="005A4900" w:rsidP="00C762D3">
      <w:pPr>
        <w:jc w:val="both"/>
        <w:rPr>
          <w:rFonts w:ascii="Helvetica" w:hAnsi="Helvetica"/>
          <w:b/>
          <w:sz w:val="21"/>
          <w:szCs w:val="21"/>
        </w:rPr>
      </w:pPr>
      <w:r w:rsidRPr="005A4900">
        <w:rPr>
          <w:rFonts w:ascii="Helvetica" w:hAnsi="Helvetica"/>
          <w:b/>
          <w:sz w:val="21"/>
          <w:szCs w:val="21"/>
        </w:rPr>
        <w:t xml:space="preserve">The s.2(a) Infringement </w:t>
      </w:r>
    </w:p>
    <w:p w:rsidR="005F336C" w:rsidRDefault="005F336C" w:rsidP="00C762D3">
      <w:pPr>
        <w:jc w:val="both"/>
        <w:rPr>
          <w:rFonts w:ascii="Helvetica" w:hAnsi="Helvetica"/>
          <w:sz w:val="21"/>
          <w:szCs w:val="21"/>
        </w:rPr>
      </w:pPr>
    </w:p>
    <w:p w:rsidR="005F336C" w:rsidRDefault="007428A2" w:rsidP="00C762D3">
      <w:pPr>
        <w:jc w:val="both"/>
        <w:rPr>
          <w:rFonts w:ascii="Helvetica" w:hAnsi="Helvetica"/>
          <w:sz w:val="21"/>
          <w:szCs w:val="21"/>
        </w:rPr>
      </w:pPr>
      <w:r>
        <w:rPr>
          <w:rFonts w:ascii="Helvetica" w:hAnsi="Helvetica"/>
          <w:sz w:val="21"/>
          <w:szCs w:val="21"/>
        </w:rPr>
        <w:t xml:space="preserve">The BCCA reaffirmed that the proper framework </w:t>
      </w:r>
      <w:r w:rsidR="00FE0F6E">
        <w:rPr>
          <w:rFonts w:ascii="Helvetica" w:hAnsi="Helvetica"/>
          <w:sz w:val="21"/>
          <w:szCs w:val="21"/>
        </w:rPr>
        <w:t xml:space="preserve">to examine </w:t>
      </w:r>
      <w:r>
        <w:rPr>
          <w:rFonts w:ascii="Helvetica" w:hAnsi="Helvetica"/>
          <w:sz w:val="21"/>
          <w:szCs w:val="21"/>
        </w:rPr>
        <w:t xml:space="preserve">an alleged s.2(a) infringement is the two-step </w:t>
      </w:r>
      <w:r w:rsidR="00105B73">
        <w:rPr>
          <w:rFonts w:ascii="Helvetica" w:hAnsi="Helvetica"/>
          <w:sz w:val="21"/>
          <w:szCs w:val="21"/>
        </w:rPr>
        <w:t xml:space="preserve">analysis </w:t>
      </w:r>
      <w:r>
        <w:rPr>
          <w:rFonts w:ascii="Helvetica" w:hAnsi="Helvetica"/>
          <w:sz w:val="21"/>
          <w:szCs w:val="21"/>
        </w:rPr>
        <w:t xml:space="preserve">set out in </w:t>
      </w:r>
      <w:r w:rsidRPr="007428A2">
        <w:rPr>
          <w:rFonts w:ascii="Helvetica" w:hAnsi="Helvetica"/>
          <w:i/>
          <w:sz w:val="21"/>
          <w:szCs w:val="21"/>
        </w:rPr>
        <w:t>Dore v. Barreau du Quebec</w:t>
      </w:r>
      <w:r w:rsidR="005A4900">
        <w:rPr>
          <w:rFonts w:ascii="Helvetica" w:hAnsi="Helvetica"/>
          <w:sz w:val="21"/>
          <w:szCs w:val="21"/>
        </w:rPr>
        <w:t>, 2012 SCC 12. This</w:t>
      </w:r>
      <w:r w:rsidR="00105B73">
        <w:rPr>
          <w:rFonts w:ascii="Helvetica" w:hAnsi="Helvetica"/>
          <w:sz w:val="21"/>
          <w:szCs w:val="21"/>
        </w:rPr>
        <w:t xml:space="preserve"> analysis</w:t>
      </w:r>
      <w:r w:rsidR="005A4900">
        <w:rPr>
          <w:rFonts w:ascii="Helvetica" w:hAnsi="Helvetica"/>
          <w:sz w:val="21"/>
          <w:szCs w:val="21"/>
        </w:rPr>
        <w:t xml:space="preserve"> requires a court to determine:</w:t>
      </w:r>
    </w:p>
    <w:p w:rsidR="007428A2" w:rsidRDefault="007428A2" w:rsidP="00C762D3">
      <w:pPr>
        <w:jc w:val="both"/>
        <w:rPr>
          <w:rFonts w:ascii="Helvetica" w:hAnsi="Helvetica"/>
          <w:sz w:val="21"/>
          <w:szCs w:val="21"/>
        </w:rPr>
      </w:pPr>
    </w:p>
    <w:p w:rsidR="007428A2" w:rsidRDefault="007428A2" w:rsidP="007428A2">
      <w:pPr>
        <w:pStyle w:val="ListParagraph"/>
        <w:numPr>
          <w:ilvl w:val="0"/>
          <w:numId w:val="1"/>
        </w:numPr>
        <w:jc w:val="both"/>
        <w:rPr>
          <w:rFonts w:ascii="Helvetica" w:hAnsi="Helvetica"/>
          <w:sz w:val="21"/>
          <w:szCs w:val="21"/>
        </w:rPr>
      </w:pPr>
      <w:r>
        <w:rPr>
          <w:rFonts w:ascii="Helvetica" w:hAnsi="Helvetica"/>
          <w:sz w:val="21"/>
          <w:szCs w:val="21"/>
        </w:rPr>
        <w:t>whether the Charter right has been infringed; and</w:t>
      </w:r>
    </w:p>
    <w:p w:rsidR="007428A2" w:rsidRPr="007428A2" w:rsidRDefault="007428A2" w:rsidP="007428A2">
      <w:pPr>
        <w:pStyle w:val="ListParagraph"/>
        <w:numPr>
          <w:ilvl w:val="0"/>
          <w:numId w:val="1"/>
        </w:numPr>
        <w:jc w:val="both"/>
        <w:rPr>
          <w:rFonts w:ascii="Helvetica" w:hAnsi="Helvetica"/>
          <w:sz w:val="21"/>
          <w:szCs w:val="21"/>
        </w:rPr>
      </w:pPr>
      <w:r>
        <w:rPr>
          <w:rFonts w:ascii="Helvetica" w:hAnsi="Helvetica"/>
          <w:sz w:val="21"/>
          <w:szCs w:val="21"/>
        </w:rPr>
        <w:t xml:space="preserve">having found the Charter right is engaged, </w:t>
      </w:r>
      <w:r w:rsidR="005A4900">
        <w:rPr>
          <w:rFonts w:ascii="Helvetica" w:hAnsi="Helvetica"/>
          <w:sz w:val="21"/>
          <w:szCs w:val="21"/>
        </w:rPr>
        <w:t xml:space="preserve">whether </w:t>
      </w:r>
      <w:r>
        <w:rPr>
          <w:rFonts w:ascii="Helvetica" w:hAnsi="Helvetica"/>
          <w:sz w:val="21"/>
          <w:szCs w:val="21"/>
        </w:rPr>
        <w:t>the administrative decision reflects a proportionate balancing of the Charter protections at play.</w:t>
      </w:r>
      <w:r>
        <w:rPr>
          <w:rStyle w:val="FootnoteReference"/>
          <w:rFonts w:ascii="Helvetica" w:hAnsi="Helvetica"/>
          <w:sz w:val="21"/>
          <w:szCs w:val="21"/>
        </w:rPr>
        <w:footnoteReference w:id="3"/>
      </w:r>
    </w:p>
    <w:p w:rsidR="005F336C" w:rsidRDefault="005F336C" w:rsidP="00C762D3">
      <w:pPr>
        <w:jc w:val="both"/>
        <w:rPr>
          <w:rFonts w:ascii="Helvetica" w:hAnsi="Helvetica"/>
          <w:sz w:val="21"/>
          <w:szCs w:val="21"/>
        </w:rPr>
      </w:pPr>
    </w:p>
    <w:p w:rsidR="007428A2" w:rsidRDefault="007428A2" w:rsidP="00C762D3">
      <w:pPr>
        <w:jc w:val="both"/>
        <w:rPr>
          <w:rFonts w:ascii="Helvetica" w:hAnsi="Helvetica"/>
          <w:sz w:val="21"/>
          <w:szCs w:val="21"/>
        </w:rPr>
      </w:pPr>
      <w:r>
        <w:rPr>
          <w:rFonts w:ascii="Helvetica" w:hAnsi="Helvetica"/>
          <w:sz w:val="21"/>
          <w:szCs w:val="21"/>
        </w:rPr>
        <w:t xml:space="preserve">On appeal, the BCCA held while </w:t>
      </w:r>
      <w:r w:rsidR="00105B73">
        <w:rPr>
          <w:rFonts w:ascii="Helvetica" w:hAnsi="Helvetica"/>
          <w:sz w:val="21"/>
          <w:szCs w:val="21"/>
        </w:rPr>
        <w:t xml:space="preserve">the legal framework does not require proof of the </w:t>
      </w:r>
      <w:r w:rsidR="008A5476">
        <w:rPr>
          <w:rFonts w:ascii="Helvetica" w:hAnsi="Helvetica"/>
          <w:sz w:val="21"/>
          <w:szCs w:val="21"/>
        </w:rPr>
        <w:t xml:space="preserve">presence of coercion or constraint on individual conduct in order to demonstrate an infringement of s.2(a), that </w:t>
      </w:r>
      <w:r w:rsidR="00105B73">
        <w:rPr>
          <w:rFonts w:ascii="Helvetica" w:hAnsi="Helvetica"/>
          <w:sz w:val="21"/>
          <w:szCs w:val="21"/>
        </w:rPr>
        <w:t xml:space="preserve">in this case, </w:t>
      </w:r>
      <w:r w:rsidR="008A5476">
        <w:rPr>
          <w:rFonts w:ascii="Helvetica" w:hAnsi="Helvetica"/>
          <w:sz w:val="21"/>
          <w:szCs w:val="21"/>
        </w:rPr>
        <w:t>s.2(a) does not extend to protect the particular religious belief asserted by the Ktunaxa.</w:t>
      </w:r>
      <w:r w:rsidR="008A5476">
        <w:rPr>
          <w:rStyle w:val="FootnoteReference"/>
          <w:rFonts w:ascii="Helvetica" w:hAnsi="Helvetica"/>
          <w:sz w:val="21"/>
          <w:szCs w:val="21"/>
        </w:rPr>
        <w:footnoteReference w:id="4"/>
      </w:r>
      <w:r w:rsidR="008A5476">
        <w:rPr>
          <w:rFonts w:ascii="Helvetica" w:hAnsi="Helvetica"/>
          <w:sz w:val="21"/>
          <w:szCs w:val="21"/>
        </w:rPr>
        <w:t xml:space="preserve"> </w:t>
      </w:r>
      <w:r w:rsidR="005A4900">
        <w:rPr>
          <w:rFonts w:ascii="Helvetica" w:hAnsi="Helvetica"/>
          <w:sz w:val="21"/>
          <w:szCs w:val="21"/>
        </w:rPr>
        <w:t xml:space="preserve">In dismissing the claim that the decision infringed the Ktunaxa’s s.2(a) rights, the </w:t>
      </w:r>
      <w:r w:rsidR="008A5476">
        <w:rPr>
          <w:rFonts w:ascii="Helvetica" w:hAnsi="Helvetica"/>
          <w:sz w:val="21"/>
          <w:szCs w:val="21"/>
        </w:rPr>
        <w:t>court explained that:</w:t>
      </w:r>
    </w:p>
    <w:p w:rsidR="008A5476" w:rsidRDefault="008A5476" w:rsidP="00C762D3">
      <w:pPr>
        <w:jc w:val="both"/>
        <w:rPr>
          <w:rFonts w:ascii="Helvetica" w:hAnsi="Helvetica"/>
          <w:sz w:val="21"/>
          <w:szCs w:val="21"/>
        </w:rPr>
      </w:pPr>
    </w:p>
    <w:p w:rsidR="008A5476" w:rsidRDefault="008A5476" w:rsidP="008A5476">
      <w:pPr>
        <w:ind w:left="851" w:right="855"/>
        <w:jc w:val="both"/>
        <w:rPr>
          <w:rFonts w:ascii="Helvetica" w:hAnsi="Helvetica"/>
          <w:sz w:val="21"/>
          <w:szCs w:val="21"/>
        </w:rPr>
      </w:pPr>
      <w:r>
        <w:rPr>
          <w:rFonts w:ascii="Helvetica" w:hAnsi="Helvetica"/>
          <w:sz w:val="21"/>
          <w:szCs w:val="21"/>
        </w:rPr>
        <w:t xml:space="preserve">In this case, the Ktunaxa derive subjective spiritual meaning from, and submit that the vitality of their religious community as a whole depends on, a requirement imposing constraints on people who do not share that same religious belief. It is not, in my view, consonant with the underpinnings of the Charter to say that a group, in asserting a protected right under s.2(a) that implicates the vitality of their religious community, is then capable of restraining and restricting the behaviour of </w:t>
      </w:r>
      <w:r>
        <w:rPr>
          <w:rFonts w:ascii="Helvetica" w:hAnsi="Helvetica"/>
          <w:sz w:val="21"/>
          <w:szCs w:val="21"/>
        </w:rPr>
        <w:lastRenderedPageBreak/>
        <w:t>others who do not share that belief in the same of preserving subjective religious meaning.</w:t>
      </w:r>
      <w:r>
        <w:rPr>
          <w:rStyle w:val="FootnoteReference"/>
          <w:rFonts w:ascii="Helvetica" w:hAnsi="Helvetica"/>
          <w:sz w:val="21"/>
          <w:szCs w:val="21"/>
        </w:rPr>
        <w:footnoteReference w:id="5"/>
      </w:r>
    </w:p>
    <w:p w:rsidR="005A4900" w:rsidRDefault="005A4900" w:rsidP="008A5476">
      <w:pPr>
        <w:ind w:left="851" w:right="855"/>
        <w:jc w:val="both"/>
        <w:rPr>
          <w:rFonts w:ascii="Helvetica" w:hAnsi="Helvetica"/>
          <w:sz w:val="21"/>
          <w:szCs w:val="21"/>
        </w:rPr>
      </w:pPr>
    </w:p>
    <w:p w:rsidR="000123F0" w:rsidRPr="000123F0" w:rsidRDefault="000123F0" w:rsidP="005A4900">
      <w:pPr>
        <w:jc w:val="both"/>
        <w:rPr>
          <w:rFonts w:ascii="Helvetica" w:hAnsi="Helvetica"/>
          <w:b/>
          <w:sz w:val="21"/>
          <w:szCs w:val="21"/>
        </w:rPr>
      </w:pPr>
      <w:r w:rsidRPr="000123F0">
        <w:rPr>
          <w:rFonts w:ascii="Helvetica" w:hAnsi="Helvetica"/>
          <w:b/>
          <w:sz w:val="21"/>
          <w:szCs w:val="21"/>
        </w:rPr>
        <w:t xml:space="preserve">Duty to Consult and Accommodate </w:t>
      </w:r>
    </w:p>
    <w:p w:rsidR="000123F0" w:rsidRDefault="000123F0" w:rsidP="005A4900">
      <w:pPr>
        <w:jc w:val="both"/>
        <w:rPr>
          <w:rFonts w:ascii="Helvetica" w:hAnsi="Helvetica"/>
          <w:sz w:val="21"/>
          <w:szCs w:val="21"/>
        </w:rPr>
      </w:pPr>
    </w:p>
    <w:p w:rsidR="008A5476" w:rsidRDefault="000123F0" w:rsidP="00C762D3">
      <w:pPr>
        <w:jc w:val="both"/>
        <w:rPr>
          <w:rFonts w:ascii="Helvetica" w:hAnsi="Helvetica"/>
          <w:sz w:val="21"/>
          <w:szCs w:val="21"/>
        </w:rPr>
      </w:pPr>
      <w:r>
        <w:rPr>
          <w:rFonts w:ascii="Helvetica" w:hAnsi="Helvetica"/>
          <w:sz w:val="21"/>
          <w:szCs w:val="21"/>
        </w:rPr>
        <w:t>The Ktunaxa claimed that the chambers judge erred in his analysis of the accommodation offered by the Minister with respect to their spiritual right. After summarizing the accommodations offered to the Ktunaxa, the court disagreed, finding that the process of consultation and accommodation offered met the standard of reasonableness and the Minister did not breach his duty to consult and accommodate under s. 35.</w:t>
      </w:r>
      <w:r w:rsidR="009976F4">
        <w:rPr>
          <w:rFonts w:ascii="Helvetica" w:hAnsi="Helvetica"/>
          <w:sz w:val="21"/>
          <w:szCs w:val="21"/>
        </w:rPr>
        <w:t xml:space="preserve"> </w:t>
      </w:r>
    </w:p>
    <w:p w:rsidR="009976F4" w:rsidRDefault="009976F4" w:rsidP="00C762D3">
      <w:pPr>
        <w:jc w:val="both"/>
        <w:rPr>
          <w:rFonts w:ascii="Helvetica" w:hAnsi="Helvetica"/>
          <w:sz w:val="21"/>
          <w:szCs w:val="21"/>
        </w:rPr>
      </w:pPr>
    </w:p>
    <w:p w:rsidR="000123F0" w:rsidRDefault="009976F4" w:rsidP="00C762D3">
      <w:pPr>
        <w:jc w:val="both"/>
        <w:rPr>
          <w:rFonts w:ascii="Helvetica" w:hAnsi="Helvetica"/>
          <w:b/>
          <w:sz w:val="21"/>
          <w:szCs w:val="21"/>
        </w:rPr>
      </w:pPr>
      <w:r>
        <w:rPr>
          <w:rFonts w:ascii="Helvetica" w:hAnsi="Helvetica"/>
          <w:b/>
          <w:sz w:val="21"/>
          <w:szCs w:val="21"/>
        </w:rPr>
        <w:t>Why this Case Matters</w:t>
      </w:r>
    </w:p>
    <w:p w:rsidR="009976F4" w:rsidRDefault="009976F4" w:rsidP="00C762D3">
      <w:pPr>
        <w:jc w:val="both"/>
        <w:rPr>
          <w:rFonts w:ascii="Helvetica" w:hAnsi="Helvetica"/>
          <w:b/>
          <w:sz w:val="21"/>
          <w:szCs w:val="21"/>
        </w:rPr>
      </w:pPr>
    </w:p>
    <w:p w:rsidR="009976F4" w:rsidRDefault="009976F4" w:rsidP="00C762D3">
      <w:pPr>
        <w:jc w:val="both"/>
        <w:rPr>
          <w:rFonts w:ascii="Helvetica" w:hAnsi="Helvetica"/>
          <w:sz w:val="21"/>
          <w:szCs w:val="21"/>
        </w:rPr>
      </w:pPr>
      <w:r>
        <w:rPr>
          <w:rFonts w:ascii="Helvetica" w:hAnsi="Helvetica"/>
          <w:sz w:val="21"/>
          <w:szCs w:val="21"/>
        </w:rPr>
        <w:t>There are two significant issues at play – the ability of First Nations to argue infringements of their Charter rights, such as freedom of religion – separate and apart from their Aboriginal and Treaty rights, as well as the proper test to be applied in the context of a judicial review proceeding.  In our view, the same test would be applicable if a First Nation brought forth a claim of infringement of their Aboriginal or Treaty rights as well.  The Crown has consistently taken the position that such matters must be determined in an action.</w:t>
      </w:r>
    </w:p>
    <w:p w:rsidR="009976F4" w:rsidRDefault="009976F4" w:rsidP="00C762D3">
      <w:pPr>
        <w:jc w:val="both"/>
        <w:rPr>
          <w:rFonts w:ascii="Helvetica" w:hAnsi="Helvetica"/>
          <w:sz w:val="21"/>
          <w:szCs w:val="21"/>
        </w:rPr>
      </w:pPr>
    </w:p>
    <w:p w:rsidR="009976F4" w:rsidRDefault="009976F4" w:rsidP="00C762D3">
      <w:pPr>
        <w:jc w:val="both"/>
        <w:rPr>
          <w:rFonts w:ascii="Helvetica" w:hAnsi="Helvetica"/>
          <w:sz w:val="21"/>
          <w:szCs w:val="21"/>
        </w:rPr>
      </w:pPr>
      <w:r>
        <w:rPr>
          <w:rFonts w:ascii="Helvetica" w:hAnsi="Helvetica"/>
          <w:sz w:val="21"/>
          <w:szCs w:val="21"/>
        </w:rPr>
        <w:t xml:space="preserve">The second aspect is the question of delay in the context of large projects that require multiple authorizations.  The key question for First Nations is when to challenge an authorization for lack of consultation.  If the challenge is to an early authorization, </w:t>
      </w:r>
      <w:r w:rsidR="004873FA">
        <w:rPr>
          <w:rFonts w:ascii="Helvetica" w:hAnsi="Helvetica"/>
          <w:sz w:val="21"/>
          <w:szCs w:val="21"/>
        </w:rPr>
        <w:t xml:space="preserve">the Crown will say </w:t>
      </w:r>
      <w:proofErr w:type="spellStart"/>
      <w:proofErr w:type="gramStart"/>
      <w:r w:rsidR="004873FA">
        <w:rPr>
          <w:rFonts w:ascii="Helvetica" w:hAnsi="Helvetica"/>
          <w:sz w:val="21"/>
          <w:szCs w:val="21"/>
        </w:rPr>
        <w:t>its</w:t>
      </w:r>
      <w:proofErr w:type="spellEnd"/>
      <w:proofErr w:type="gramEnd"/>
      <w:r w:rsidR="004873FA">
        <w:rPr>
          <w:rFonts w:ascii="Helvetica" w:hAnsi="Helvetica"/>
          <w:sz w:val="21"/>
          <w:szCs w:val="21"/>
        </w:rPr>
        <w:t xml:space="preserve"> premature and there will be other opportunities for consultation.  On the other hand, if the First Nation waits until a significant authorization that will actually have impacts on the ground, they are met with the argument that they are too late.  In this case, the court suggests that the failure of the First Nation to challenge each discrete Crown decision should be held against them.  That cannot be correct.</w:t>
      </w:r>
    </w:p>
    <w:sectPr w:rsidR="009976F4" w:rsidSect="00F343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58" w:rsidRDefault="00B35058" w:rsidP="008C2C19">
      <w:r>
        <w:separator/>
      </w:r>
    </w:p>
  </w:endnote>
  <w:endnote w:type="continuationSeparator" w:id="0">
    <w:p w:rsidR="00B35058" w:rsidRDefault="00B35058" w:rsidP="008C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58" w:rsidRDefault="00B35058" w:rsidP="008C2C19">
      <w:r>
        <w:separator/>
      </w:r>
    </w:p>
  </w:footnote>
  <w:footnote w:type="continuationSeparator" w:id="0">
    <w:p w:rsidR="00B35058" w:rsidRDefault="00B35058" w:rsidP="008C2C19">
      <w:r>
        <w:continuationSeparator/>
      </w:r>
    </w:p>
  </w:footnote>
  <w:footnote w:id="1">
    <w:p w:rsidR="00FE0F6E" w:rsidRPr="00105B73" w:rsidRDefault="00FE0F6E">
      <w:pPr>
        <w:pStyle w:val="FootnoteText"/>
        <w:rPr>
          <w:rFonts w:ascii="Helvetica" w:hAnsi="Helvetica"/>
          <w:sz w:val="18"/>
          <w:szCs w:val="18"/>
          <w:lang w:val="en-CA"/>
        </w:rPr>
      </w:pPr>
      <w:r w:rsidRPr="00105B73">
        <w:rPr>
          <w:rStyle w:val="FootnoteReference"/>
          <w:rFonts w:ascii="Helvetica" w:hAnsi="Helvetica"/>
          <w:sz w:val="18"/>
          <w:szCs w:val="18"/>
        </w:rPr>
        <w:footnoteRef/>
      </w:r>
      <w:r w:rsidRPr="00105B73">
        <w:rPr>
          <w:rFonts w:ascii="Helvetica" w:hAnsi="Helvetica"/>
          <w:sz w:val="18"/>
          <w:szCs w:val="18"/>
        </w:rPr>
        <w:t xml:space="preserve"> </w:t>
      </w:r>
      <w:r w:rsidRPr="00105B73">
        <w:rPr>
          <w:rFonts w:ascii="Helvetica" w:hAnsi="Helvetica"/>
          <w:sz w:val="18"/>
          <w:szCs w:val="18"/>
          <w:lang w:val="en-CA"/>
        </w:rPr>
        <w:t xml:space="preserve">BCCA, at para. 9. </w:t>
      </w:r>
    </w:p>
  </w:footnote>
  <w:footnote w:id="2">
    <w:p w:rsidR="00FE0F6E" w:rsidRPr="00105B73" w:rsidRDefault="00FE0F6E">
      <w:pPr>
        <w:pStyle w:val="FootnoteText"/>
        <w:rPr>
          <w:rFonts w:ascii="Helvetica" w:hAnsi="Helvetica"/>
          <w:sz w:val="18"/>
          <w:szCs w:val="18"/>
          <w:lang w:val="en-CA"/>
        </w:rPr>
      </w:pPr>
      <w:r w:rsidRPr="00105B73">
        <w:rPr>
          <w:rStyle w:val="FootnoteReference"/>
          <w:rFonts w:ascii="Helvetica" w:hAnsi="Helvetica"/>
          <w:sz w:val="18"/>
          <w:szCs w:val="18"/>
        </w:rPr>
        <w:footnoteRef/>
      </w:r>
      <w:r w:rsidRPr="00105B73">
        <w:rPr>
          <w:rFonts w:ascii="Helvetica" w:hAnsi="Helvetica"/>
          <w:sz w:val="18"/>
          <w:szCs w:val="18"/>
        </w:rPr>
        <w:t xml:space="preserve"> </w:t>
      </w:r>
      <w:r w:rsidRPr="00105B73">
        <w:rPr>
          <w:rFonts w:ascii="Helvetica" w:hAnsi="Helvetica"/>
          <w:sz w:val="18"/>
          <w:szCs w:val="18"/>
          <w:lang w:val="en-CA"/>
        </w:rPr>
        <w:t xml:space="preserve">BCCA, at para. 3. </w:t>
      </w:r>
    </w:p>
  </w:footnote>
  <w:footnote w:id="3">
    <w:p w:rsidR="00FE0F6E" w:rsidRPr="00105B73" w:rsidRDefault="00FE0F6E">
      <w:pPr>
        <w:pStyle w:val="FootnoteText"/>
        <w:rPr>
          <w:rFonts w:ascii="Helvetica" w:hAnsi="Helvetica"/>
          <w:sz w:val="18"/>
          <w:szCs w:val="18"/>
          <w:lang w:val="en-CA"/>
        </w:rPr>
      </w:pPr>
      <w:r w:rsidRPr="00105B73">
        <w:rPr>
          <w:rStyle w:val="FootnoteReference"/>
          <w:rFonts w:ascii="Helvetica" w:hAnsi="Helvetica"/>
          <w:sz w:val="18"/>
          <w:szCs w:val="18"/>
        </w:rPr>
        <w:footnoteRef/>
      </w:r>
      <w:r w:rsidRPr="00105B73">
        <w:rPr>
          <w:rFonts w:ascii="Helvetica" w:hAnsi="Helvetica"/>
          <w:sz w:val="18"/>
          <w:szCs w:val="18"/>
        </w:rPr>
        <w:t xml:space="preserve"> </w:t>
      </w:r>
      <w:r w:rsidRPr="00105B73">
        <w:rPr>
          <w:rFonts w:ascii="Helvetica" w:hAnsi="Helvetica"/>
          <w:sz w:val="18"/>
          <w:szCs w:val="18"/>
          <w:lang w:val="en-CA"/>
        </w:rPr>
        <w:t xml:space="preserve">BCCA, at para 49. </w:t>
      </w:r>
    </w:p>
  </w:footnote>
  <w:footnote w:id="4">
    <w:p w:rsidR="00FE0F6E" w:rsidRPr="008A5476" w:rsidRDefault="00FE0F6E">
      <w:pPr>
        <w:pStyle w:val="FootnoteText"/>
        <w:rPr>
          <w:lang w:val="en-CA"/>
        </w:rPr>
      </w:pPr>
      <w:r w:rsidRPr="00105B73">
        <w:rPr>
          <w:rStyle w:val="FootnoteReference"/>
          <w:rFonts w:ascii="Helvetica" w:hAnsi="Helvetica"/>
          <w:sz w:val="18"/>
          <w:szCs w:val="18"/>
        </w:rPr>
        <w:footnoteRef/>
      </w:r>
      <w:r w:rsidRPr="00105B73">
        <w:rPr>
          <w:rFonts w:ascii="Helvetica" w:hAnsi="Helvetica"/>
          <w:sz w:val="18"/>
          <w:szCs w:val="18"/>
        </w:rPr>
        <w:t xml:space="preserve"> </w:t>
      </w:r>
      <w:r w:rsidRPr="00105B73">
        <w:rPr>
          <w:rFonts w:ascii="Helvetica" w:hAnsi="Helvetica"/>
          <w:sz w:val="18"/>
          <w:szCs w:val="18"/>
          <w:lang w:val="en-CA"/>
        </w:rPr>
        <w:t>BCCA, at para. 63.</w:t>
      </w:r>
      <w:r>
        <w:rPr>
          <w:lang w:val="en-CA"/>
        </w:rPr>
        <w:t xml:space="preserve"> </w:t>
      </w:r>
    </w:p>
  </w:footnote>
  <w:footnote w:id="5">
    <w:p w:rsidR="00FE0F6E" w:rsidRPr="00105B73" w:rsidRDefault="00FE0F6E">
      <w:pPr>
        <w:pStyle w:val="FootnoteText"/>
        <w:rPr>
          <w:rFonts w:ascii="Helvetica" w:hAnsi="Helvetica"/>
          <w:sz w:val="18"/>
          <w:szCs w:val="18"/>
          <w:lang w:val="en-CA"/>
        </w:rPr>
      </w:pPr>
      <w:r w:rsidRPr="00105B73">
        <w:rPr>
          <w:rStyle w:val="FootnoteReference"/>
          <w:rFonts w:ascii="Helvetica" w:hAnsi="Helvetica"/>
          <w:sz w:val="18"/>
          <w:szCs w:val="18"/>
        </w:rPr>
        <w:footnoteRef/>
      </w:r>
      <w:r w:rsidRPr="00105B73">
        <w:rPr>
          <w:rFonts w:ascii="Helvetica" w:hAnsi="Helvetica"/>
          <w:sz w:val="18"/>
          <w:szCs w:val="18"/>
        </w:rPr>
        <w:t xml:space="preserve"> </w:t>
      </w:r>
      <w:r w:rsidRPr="00105B73">
        <w:rPr>
          <w:rFonts w:ascii="Helvetica" w:hAnsi="Helvetica"/>
          <w:sz w:val="18"/>
          <w:szCs w:val="18"/>
          <w:lang w:val="en-CA"/>
        </w:rPr>
        <w:t xml:space="preserve">BCCA, at para. 73.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A3EEB"/>
    <w:multiLevelType w:val="hybridMultilevel"/>
    <w:tmpl w:val="1A020FEA"/>
    <w:lvl w:ilvl="0" w:tplc="169E27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19"/>
    <w:rsid w:val="000110F7"/>
    <w:rsid w:val="000123F0"/>
    <w:rsid w:val="00105B73"/>
    <w:rsid w:val="00137BB0"/>
    <w:rsid w:val="004011F1"/>
    <w:rsid w:val="004873FA"/>
    <w:rsid w:val="005A4900"/>
    <w:rsid w:val="005F336C"/>
    <w:rsid w:val="007428A2"/>
    <w:rsid w:val="008A5476"/>
    <w:rsid w:val="008C2C19"/>
    <w:rsid w:val="009976F4"/>
    <w:rsid w:val="00A44714"/>
    <w:rsid w:val="00AB3C73"/>
    <w:rsid w:val="00B35058"/>
    <w:rsid w:val="00B53997"/>
    <w:rsid w:val="00C344EE"/>
    <w:rsid w:val="00C762D3"/>
    <w:rsid w:val="00E668EA"/>
    <w:rsid w:val="00F34370"/>
    <w:rsid w:val="00FE0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53AAF-D061-4B81-B0C4-5D149A8A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C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2C19"/>
    <w:rPr>
      <w:sz w:val="20"/>
      <w:szCs w:val="20"/>
    </w:rPr>
  </w:style>
  <w:style w:type="character" w:customStyle="1" w:styleId="FootnoteTextChar">
    <w:name w:val="Footnote Text Char"/>
    <w:basedOn w:val="DefaultParagraphFont"/>
    <w:link w:val="FootnoteText"/>
    <w:uiPriority w:val="99"/>
    <w:semiHidden/>
    <w:rsid w:val="008C2C1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C2C19"/>
    <w:rPr>
      <w:vertAlign w:val="superscript"/>
    </w:rPr>
  </w:style>
  <w:style w:type="paragraph" w:styleId="ListParagraph">
    <w:name w:val="List Paragraph"/>
    <w:basedOn w:val="Normal"/>
    <w:uiPriority w:val="34"/>
    <w:qFormat/>
    <w:rsid w:val="007428A2"/>
    <w:pPr>
      <w:ind w:left="720"/>
      <w:contextualSpacing/>
    </w:pPr>
  </w:style>
  <w:style w:type="character" w:styleId="CommentReference">
    <w:name w:val="annotation reference"/>
    <w:basedOn w:val="DefaultParagraphFont"/>
    <w:uiPriority w:val="99"/>
    <w:semiHidden/>
    <w:unhideWhenUsed/>
    <w:rsid w:val="007428A2"/>
    <w:rPr>
      <w:sz w:val="16"/>
      <w:szCs w:val="16"/>
    </w:rPr>
  </w:style>
  <w:style w:type="paragraph" w:styleId="CommentText">
    <w:name w:val="annotation text"/>
    <w:basedOn w:val="Normal"/>
    <w:link w:val="CommentTextChar"/>
    <w:uiPriority w:val="99"/>
    <w:semiHidden/>
    <w:unhideWhenUsed/>
    <w:rsid w:val="007428A2"/>
    <w:rPr>
      <w:sz w:val="20"/>
      <w:szCs w:val="20"/>
    </w:rPr>
  </w:style>
  <w:style w:type="character" w:customStyle="1" w:styleId="CommentTextChar">
    <w:name w:val="Comment Text Char"/>
    <w:basedOn w:val="DefaultParagraphFont"/>
    <w:link w:val="CommentText"/>
    <w:uiPriority w:val="99"/>
    <w:semiHidden/>
    <w:rsid w:val="007428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28A2"/>
    <w:rPr>
      <w:b/>
      <w:bCs/>
    </w:rPr>
  </w:style>
  <w:style w:type="character" w:customStyle="1" w:styleId="CommentSubjectChar">
    <w:name w:val="Comment Subject Char"/>
    <w:basedOn w:val="CommentTextChar"/>
    <w:link w:val="CommentSubject"/>
    <w:uiPriority w:val="99"/>
    <w:semiHidden/>
    <w:rsid w:val="007428A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428A2"/>
    <w:rPr>
      <w:rFonts w:ascii="Tahoma" w:hAnsi="Tahoma" w:cs="Tahoma"/>
      <w:sz w:val="16"/>
      <w:szCs w:val="16"/>
    </w:rPr>
  </w:style>
  <w:style w:type="character" w:customStyle="1" w:styleId="BalloonTextChar">
    <w:name w:val="Balloon Text Char"/>
    <w:basedOn w:val="DefaultParagraphFont"/>
    <w:link w:val="BalloonText"/>
    <w:uiPriority w:val="99"/>
    <w:semiHidden/>
    <w:rsid w:val="007428A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2620F-9C62-4B29-88EC-803E65E5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Mason</dc:creator>
  <cp:lastModifiedBy>Angela Tam</cp:lastModifiedBy>
  <cp:revision>2</cp:revision>
  <dcterms:created xsi:type="dcterms:W3CDTF">2015-08-28T17:29:00Z</dcterms:created>
  <dcterms:modified xsi:type="dcterms:W3CDTF">2015-08-28T17:29:00Z</dcterms:modified>
</cp:coreProperties>
</file>