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D77F3" w:rsidRPr="002D77F3" w:rsidRDefault="002D77F3" w:rsidP="002D77F3">
      <w:pPr>
        <w:shd w:val="clear" w:color="auto" w:fill="FFFFFF"/>
        <w:spacing w:before="0" w:after="0" w:line="420" w:lineRule="atLeast"/>
        <w:ind w:left="0" w:firstLine="0"/>
        <w:jc w:val="left"/>
        <w:outlineLvl w:val="1"/>
        <w:rPr>
          <w:rFonts w:ascii="Helvetica" w:eastAsia="Times New Roman" w:hAnsi="Helvetica" w:cs="Times New Roman"/>
          <w:b/>
          <w:bCs/>
          <w:color w:val="141823"/>
          <w:sz w:val="36"/>
          <w:szCs w:val="36"/>
          <w:lang w:eastAsia="en-CA"/>
        </w:rPr>
      </w:pPr>
      <w:bookmarkStart w:id="0" w:name="_GoBack"/>
      <w:r w:rsidRPr="002D77F3">
        <w:rPr>
          <w:rFonts w:ascii="Helvetica" w:eastAsia="Times New Roman" w:hAnsi="Helvetica" w:cs="Times New Roman"/>
          <w:b/>
          <w:bCs/>
          <w:color w:val="141823"/>
          <w:sz w:val="36"/>
          <w:szCs w:val="36"/>
          <w:lang w:eastAsia="en-CA"/>
        </w:rPr>
        <w:t>Case brief: Hudson Bay Mining &amp; Smelting Co, Limited v Dumas et al, 2014 MBCA 6</w:t>
      </w:r>
    </w:p>
    <w:bookmarkEnd w:id="0"/>
    <w:p w:rsidR="002D77F3" w:rsidRPr="002D77F3" w:rsidRDefault="002D77F3" w:rsidP="002D77F3">
      <w:pPr>
        <w:shd w:val="clear" w:color="auto" w:fill="FFFFFF"/>
        <w:spacing w:before="75" w:after="0" w:line="230" w:lineRule="atLeast"/>
        <w:ind w:left="0" w:firstLine="0"/>
        <w:jc w:val="left"/>
        <w:rPr>
          <w:rFonts w:ascii="Helvetica" w:eastAsia="Times New Roman" w:hAnsi="Helvetica" w:cs="Times New Roman"/>
          <w:color w:val="9197A3"/>
          <w:sz w:val="18"/>
          <w:szCs w:val="18"/>
          <w:lang w:eastAsia="en-CA"/>
        </w:rPr>
      </w:pPr>
      <w:r w:rsidRPr="002D77F3">
        <w:rPr>
          <w:rFonts w:ascii="Helvetica" w:eastAsia="Times New Roman" w:hAnsi="Helvetica" w:cs="Times New Roman"/>
          <w:color w:val="9197A3"/>
          <w:sz w:val="18"/>
          <w:szCs w:val="18"/>
          <w:lang w:eastAsia="en-CA"/>
        </w:rPr>
        <w:fldChar w:fldCharType="begin"/>
      </w:r>
      <w:r w:rsidRPr="002D77F3">
        <w:rPr>
          <w:rFonts w:ascii="Helvetica" w:eastAsia="Times New Roman" w:hAnsi="Helvetica" w:cs="Times New Roman"/>
          <w:color w:val="9197A3"/>
          <w:sz w:val="18"/>
          <w:szCs w:val="18"/>
          <w:lang w:eastAsia="en-CA"/>
        </w:rPr>
        <w:instrText xml:space="preserve"> HYPERLINK "https://www.facebook.com/notes/devlin-gailus-westaway-law-corporation/case-brief-hudson-bay-mining-smelting-co-limited-v-dumas-et-al-2014-mbca-6/672826956088860" </w:instrText>
      </w:r>
      <w:r w:rsidRPr="002D77F3">
        <w:rPr>
          <w:rFonts w:ascii="Helvetica" w:eastAsia="Times New Roman" w:hAnsi="Helvetica" w:cs="Times New Roman"/>
          <w:color w:val="9197A3"/>
          <w:sz w:val="18"/>
          <w:szCs w:val="18"/>
          <w:lang w:eastAsia="en-CA"/>
        </w:rPr>
        <w:fldChar w:fldCharType="separate"/>
      </w:r>
      <w:r w:rsidRPr="002D77F3">
        <w:rPr>
          <w:rFonts w:ascii="Helvetica" w:eastAsia="Times New Roman" w:hAnsi="Helvetica" w:cs="Times New Roman"/>
          <w:color w:val="9197A3"/>
          <w:sz w:val="18"/>
          <w:szCs w:val="18"/>
          <w:lang w:eastAsia="en-CA"/>
        </w:rPr>
        <w:t>March 5, 2014 at 11:07am</w:t>
      </w:r>
      <w:r w:rsidRPr="002D77F3">
        <w:rPr>
          <w:rFonts w:ascii="Helvetica" w:eastAsia="Times New Roman" w:hAnsi="Helvetica" w:cs="Times New Roman"/>
          <w:color w:val="9197A3"/>
          <w:sz w:val="18"/>
          <w:szCs w:val="18"/>
          <w:lang w:eastAsia="en-CA"/>
        </w:rPr>
        <w:fldChar w:fldCharType="end"/>
      </w:r>
    </w:p>
    <w:p w:rsidR="002D77F3" w:rsidRPr="002D77F3" w:rsidRDefault="002D77F3" w:rsidP="002D77F3">
      <w:pPr>
        <w:shd w:val="clear" w:color="auto" w:fill="FFFFFF"/>
        <w:spacing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xml:space="preserve">The Manitoba Court of Appeal has upheld an injunction against members of the Mathias </w:t>
      </w:r>
      <w:proofErr w:type="spellStart"/>
      <w:r w:rsidRPr="002D77F3">
        <w:rPr>
          <w:rFonts w:ascii="Helvetica" w:eastAsia="Times New Roman" w:hAnsi="Helvetica" w:cs="Times New Roman"/>
          <w:color w:val="141823"/>
          <w:sz w:val="21"/>
          <w:szCs w:val="21"/>
          <w:lang w:eastAsia="en-CA"/>
        </w:rPr>
        <w:t>Colomb</w:t>
      </w:r>
      <w:proofErr w:type="spellEnd"/>
      <w:r w:rsidRPr="002D77F3">
        <w:rPr>
          <w:rFonts w:ascii="Helvetica" w:eastAsia="Times New Roman" w:hAnsi="Helvetica" w:cs="Times New Roman"/>
          <w:color w:val="141823"/>
          <w:sz w:val="21"/>
          <w:szCs w:val="21"/>
          <w:lang w:eastAsia="en-CA"/>
        </w:rPr>
        <w:t xml:space="preserve"> Cree Nation, confirming that they are not entitled to hold protests that block access to an active mine site. This case contrasts with the recent British Columbia Supreme Court case </w:t>
      </w:r>
      <w:r w:rsidRPr="002D77F3">
        <w:rPr>
          <w:rFonts w:ascii="Helvetica" w:eastAsia="Times New Roman" w:hAnsi="Helvetica" w:cs="Times New Roman"/>
          <w:i/>
          <w:iCs/>
          <w:color w:val="141823"/>
          <w:sz w:val="21"/>
          <w:szCs w:val="21"/>
          <w:lang w:eastAsia="en-CA"/>
        </w:rPr>
        <w:t>Moulton Contracting Ltd v British Columbia</w:t>
      </w:r>
      <w:r w:rsidRPr="002D77F3">
        <w:rPr>
          <w:rFonts w:ascii="Helvetica" w:eastAsia="Times New Roman" w:hAnsi="Helvetica" w:cs="Times New Roman"/>
          <w:color w:val="141823"/>
          <w:sz w:val="21"/>
          <w:szCs w:val="21"/>
          <w:lang w:eastAsia="en-CA"/>
        </w:rPr>
        <w:t>, 2013 BCSC 2348, in which the court refused to award damages against Fort Nelson First Nation members who participated in a similar blockade. The two cases together provide some guidance on the law in this area, but leave other questions unanswered.</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Devlin Gailus recently posted a summary of the </w:t>
      </w:r>
      <w:r w:rsidRPr="002D77F3">
        <w:rPr>
          <w:rFonts w:ascii="Helvetica" w:eastAsia="Times New Roman" w:hAnsi="Helvetica" w:cs="Times New Roman"/>
          <w:i/>
          <w:iCs/>
          <w:color w:val="141823"/>
          <w:sz w:val="21"/>
          <w:szCs w:val="21"/>
          <w:lang w:eastAsia="en-CA"/>
        </w:rPr>
        <w:t>Moulton</w:t>
      </w:r>
      <w:r w:rsidRPr="002D77F3">
        <w:rPr>
          <w:rFonts w:ascii="Helvetica" w:eastAsia="Times New Roman" w:hAnsi="Helvetica" w:cs="Times New Roman"/>
          <w:color w:val="141823"/>
          <w:sz w:val="21"/>
          <w:szCs w:val="21"/>
          <w:lang w:eastAsia="en-CA"/>
        </w:rPr>
        <w:t> decision: </w:t>
      </w:r>
      <w:hyperlink r:id="rId4" w:tgtFrame="_blank" w:history="1">
        <w:r w:rsidRPr="002D77F3">
          <w:rPr>
            <w:rFonts w:ascii="Helvetica" w:eastAsia="Times New Roman" w:hAnsi="Helvetica" w:cs="Times New Roman"/>
            <w:color w:val="3B5998"/>
            <w:sz w:val="21"/>
            <w:szCs w:val="21"/>
            <w:lang w:eastAsia="en-CA"/>
          </w:rPr>
          <w:t>http://bit.ly/DGMoulton</w:t>
        </w:r>
      </w:hyperlink>
      <w:r w:rsidRPr="002D77F3">
        <w:rPr>
          <w:rFonts w:ascii="Helvetica" w:eastAsia="Times New Roman" w:hAnsi="Helvetica" w:cs="Times New Roman"/>
          <w:color w:val="141823"/>
          <w:sz w:val="21"/>
          <w:szCs w:val="21"/>
          <w:lang w:eastAsia="en-CA"/>
        </w:rPr>
        <w:t xml:space="preserve">. To recap, that case was about a group of Aboriginal land users, members of the </w:t>
      </w:r>
      <w:proofErr w:type="spellStart"/>
      <w:r w:rsidRPr="002D77F3">
        <w:rPr>
          <w:rFonts w:ascii="Helvetica" w:eastAsia="Times New Roman" w:hAnsi="Helvetica" w:cs="Times New Roman"/>
          <w:color w:val="141823"/>
          <w:sz w:val="21"/>
          <w:szCs w:val="21"/>
          <w:lang w:eastAsia="en-CA"/>
        </w:rPr>
        <w:t>Behn</w:t>
      </w:r>
      <w:proofErr w:type="spellEnd"/>
      <w:r w:rsidRPr="002D77F3">
        <w:rPr>
          <w:rFonts w:ascii="Helvetica" w:eastAsia="Times New Roman" w:hAnsi="Helvetica" w:cs="Times New Roman"/>
          <w:color w:val="141823"/>
          <w:sz w:val="21"/>
          <w:szCs w:val="21"/>
          <w:lang w:eastAsia="en-CA"/>
        </w:rPr>
        <w:t xml:space="preserve"> family, who set up a blockade to stop Moulton from accessing its Timber Sale Licenses, which were located on land used by the </w:t>
      </w:r>
      <w:proofErr w:type="spellStart"/>
      <w:r w:rsidRPr="002D77F3">
        <w:rPr>
          <w:rFonts w:ascii="Helvetica" w:eastAsia="Times New Roman" w:hAnsi="Helvetica" w:cs="Times New Roman"/>
          <w:color w:val="141823"/>
          <w:sz w:val="21"/>
          <w:szCs w:val="21"/>
          <w:lang w:eastAsia="en-CA"/>
        </w:rPr>
        <w:t>Behns</w:t>
      </w:r>
      <w:proofErr w:type="spellEnd"/>
      <w:r w:rsidRPr="002D77F3">
        <w:rPr>
          <w:rFonts w:ascii="Helvetica" w:eastAsia="Times New Roman" w:hAnsi="Helvetica" w:cs="Times New Roman"/>
          <w:color w:val="141823"/>
          <w:sz w:val="21"/>
          <w:szCs w:val="21"/>
          <w:lang w:eastAsia="en-CA"/>
        </w:rPr>
        <w:t xml:space="preserve"> for hunting and trapping. Moulton was unable to log the timber, and lost a significant amount of money. Moulton claimed damages against the </w:t>
      </w:r>
      <w:proofErr w:type="spellStart"/>
      <w:r w:rsidRPr="002D77F3">
        <w:rPr>
          <w:rFonts w:ascii="Helvetica" w:eastAsia="Times New Roman" w:hAnsi="Helvetica" w:cs="Times New Roman"/>
          <w:color w:val="141823"/>
          <w:sz w:val="21"/>
          <w:szCs w:val="21"/>
          <w:lang w:eastAsia="en-CA"/>
        </w:rPr>
        <w:t>Behns</w:t>
      </w:r>
      <w:proofErr w:type="spellEnd"/>
      <w:r w:rsidRPr="002D77F3">
        <w:rPr>
          <w:rFonts w:ascii="Helvetica" w:eastAsia="Times New Roman" w:hAnsi="Helvetica" w:cs="Times New Roman"/>
          <w:color w:val="141823"/>
          <w:sz w:val="21"/>
          <w:szCs w:val="21"/>
          <w:lang w:eastAsia="en-CA"/>
        </w:rPr>
        <w:t xml:space="preserve"> for intentional interference with economic relations and for civil conspiracy, but it failed to prove the elements of these claims. The </w:t>
      </w:r>
      <w:proofErr w:type="spellStart"/>
      <w:r w:rsidRPr="002D77F3">
        <w:rPr>
          <w:rFonts w:ascii="Helvetica" w:eastAsia="Times New Roman" w:hAnsi="Helvetica" w:cs="Times New Roman"/>
          <w:color w:val="141823"/>
          <w:sz w:val="21"/>
          <w:szCs w:val="21"/>
          <w:lang w:eastAsia="en-CA"/>
        </w:rPr>
        <w:t>Behns</w:t>
      </w:r>
      <w:proofErr w:type="spellEnd"/>
      <w:r w:rsidRPr="002D77F3">
        <w:rPr>
          <w:rFonts w:ascii="Helvetica" w:eastAsia="Times New Roman" w:hAnsi="Helvetica" w:cs="Times New Roman"/>
          <w:color w:val="141823"/>
          <w:sz w:val="21"/>
          <w:szCs w:val="21"/>
          <w:lang w:eastAsia="en-CA"/>
        </w:rPr>
        <w:t xml:space="preserve"> were found not to have committed any unlawful act, and were not liable to Moulton for damages.</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In the </w:t>
      </w:r>
      <w:r w:rsidRPr="002D77F3">
        <w:rPr>
          <w:rFonts w:ascii="Helvetica" w:eastAsia="Times New Roman" w:hAnsi="Helvetica" w:cs="Times New Roman"/>
          <w:i/>
          <w:iCs/>
          <w:color w:val="141823"/>
          <w:sz w:val="21"/>
          <w:szCs w:val="21"/>
          <w:lang w:eastAsia="en-CA"/>
        </w:rPr>
        <w:t>Hudson Bay</w:t>
      </w:r>
      <w:r w:rsidRPr="002D77F3">
        <w:rPr>
          <w:rFonts w:ascii="Helvetica" w:eastAsia="Times New Roman" w:hAnsi="Helvetica" w:cs="Times New Roman"/>
          <w:color w:val="141823"/>
          <w:sz w:val="21"/>
          <w:szCs w:val="21"/>
          <w:lang w:eastAsia="en-CA"/>
        </w:rPr>
        <w:t xml:space="preserve"> case, the respondents set up a protest on a private access road built by the applicant Hudson Bay, temporarily blocking access to a large mine. Hudson Bay applied for an injunction to prevent the respondents from holding such protests at the site in the future. In this case, the injunction was granted. What makes this case different </w:t>
      </w:r>
      <w:proofErr w:type="spellStart"/>
      <w:r w:rsidRPr="002D77F3">
        <w:rPr>
          <w:rFonts w:ascii="Helvetica" w:eastAsia="Times New Roman" w:hAnsi="Helvetica" w:cs="Times New Roman"/>
          <w:color w:val="141823"/>
          <w:sz w:val="21"/>
          <w:szCs w:val="21"/>
          <w:lang w:eastAsia="en-CA"/>
        </w:rPr>
        <w:t>from</w:t>
      </w:r>
      <w:r w:rsidRPr="002D77F3">
        <w:rPr>
          <w:rFonts w:ascii="Helvetica" w:eastAsia="Times New Roman" w:hAnsi="Helvetica" w:cs="Times New Roman"/>
          <w:i/>
          <w:iCs/>
          <w:color w:val="141823"/>
          <w:sz w:val="21"/>
          <w:szCs w:val="21"/>
          <w:lang w:eastAsia="en-CA"/>
        </w:rPr>
        <w:t>Moulton</w:t>
      </w:r>
      <w:proofErr w:type="spellEnd"/>
      <w:r w:rsidRPr="002D77F3">
        <w:rPr>
          <w:rFonts w:ascii="Helvetica" w:eastAsia="Times New Roman" w:hAnsi="Helvetica" w:cs="Times New Roman"/>
          <w:color w:val="141823"/>
          <w:sz w:val="21"/>
          <w:szCs w:val="21"/>
          <w:lang w:eastAsia="en-CA"/>
        </w:rPr>
        <w:t xml:space="preserve">, where the court saw nothing unlawful about the </w:t>
      </w:r>
      <w:proofErr w:type="spellStart"/>
      <w:r w:rsidRPr="002D77F3">
        <w:rPr>
          <w:rFonts w:ascii="Helvetica" w:eastAsia="Times New Roman" w:hAnsi="Helvetica" w:cs="Times New Roman"/>
          <w:color w:val="141823"/>
          <w:sz w:val="21"/>
          <w:szCs w:val="21"/>
          <w:lang w:eastAsia="en-CA"/>
        </w:rPr>
        <w:t>Behns</w:t>
      </w:r>
      <w:proofErr w:type="spellEnd"/>
      <w:r w:rsidRPr="002D77F3">
        <w:rPr>
          <w:rFonts w:ascii="Helvetica" w:eastAsia="Times New Roman" w:hAnsi="Helvetica" w:cs="Times New Roman"/>
          <w:color w:val="141823"/>
          <w:sz w:val="21"/>
          <w:szCs w:val="21"/>
          <w:lang w:eastAsia="en-CA"/>
        </w:rPr>
        <w:t>’ blockade?</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There are a few factual differences between the two cases. First, Moulton had no exclusive right to land – only the right to remove timber – while Hudson Bay had an ownership interest in the land. Second, Moulton had not established its right to use the third-party access road on which the blockade was established, while Hudson Bay had constructed its own access roads. Third, Moulton was seeking damages for harm already done, which requires proof of harm and causation; in contrast, Hudson Bay was seeking an injunction to prevent interference with its interests, which is forward-looking and can be granted based on likely outcomes.</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The most significant difference between the two cases, though, may be the different legal arguments presented to the court. The injunction in </w:t>
      </w:r>
      <w:r w:rsidRPr="002D77F3">
        <w:rPr>
          <w:rFonts w:ascii="Helvetica" w:eastAsia="Times New Roman" w:hAnsi="Helvetica" w:cs="Times New Roman"/>
          <w:i/>
          <w:iCs/>
          <w:color w:val="141823"/>
          <w:sz w:val="21"/>
          <w:szCs w:val="21"/>
          <w:lang w:eastAsia="en-CA"/>
        </w:rPr>
        <w:t>Hudson Bay</w:t>
      </w:r>
      <w:r w:rsidRPr="002D77F3">
        <w:rPr>
          <w:rFonts w:ascii="Helvetica" w:eastAsia="Times New Roman" w:hAnsi="Helvetica" w:cs="Times New Roman"/>
          <w:color w:val="141823"/>
          <w:sz w:val="21"/>
          <w:szCs w:val="21"/>
          <w:lang w:eastAsia="en-CA"/>
        </w:rPr>
        <w:t> was granted primarily on the basis of nuisance. Nuisance is any substantial and unreasonable interference with the use and enjoyment of land, and the court in that case was satisfied that preventing access to the mine for even a few hours met that test. In </w:t>
      </w:r>
      <w:r w:rsidRPr="002D77F3">
        <w:rPr>
          <w:rFonts w:ascii="Helvetica" w:eastAsia="Times New Roman" w:hAnsi="Helvetica" w:cs="Times New Roman"/>
          <w:i/>
          <w:iCs/>
          <w:color w:val="141823"/>
          <w:sz w:val="21"/>
          <w:szCs w:val="21"/>
          <w:lang w:eastAsia="en-CA"/>
        </w:rPr>
        <w:t>Moulton</w:t>
      </w:r>
      <w:r w:rsidRPr="002D77F3">
        <w:rPr>
          <w:rFonts w:ascii="Helvetica" w:eastAsia="Times New Roman" w:hAnsi="Helvetica" w:cs="Times New Roman"/>
          <w:color w:val="141823"/>
          <w:sz w:val="21"/>
          <w:szCs w:val="21"/>
          <w:lang w:eastAsia="en-CA"/>
        </w:rPr>
        <w:t>, the blockade lasted several months, but Moulton did not claim nuisance and the court did not consider it.</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t> </w:t>
      </w:r>
    </w:p>
    <w:p w:rsidR="002D77F3" w:rsidRPr="002D77F3" w:rsidRDefault="002D77F3" w:rsidP="002D77F3">
      <w:pPr>
        <w:shd w:val="clear" w:color="auto" w:fill="FFFFFF"/>
        <w:spacing w:before="0" w:after="0" w:line="300" w:lineRule="atLeast"/>
        <w:ind w:left="0" w:firstLine="0"/>
        <w:jc w:val="left"/>
        <w:rPr>
          <w:rFonts w:ascii="Helvetica" w:eastAsia="Times New Roman" w:hAnsi="Helvetica" w:cs="Times New Roman"/>
          <w:color w:val="141823"/>
          <w:sz w:val="21"/>
          <w:szCs w:val="21"/>
          <w:lang w:eastAsia="en-CA"/>
        </w:rPr>
      </w:pPr>
      <w:r w:rsidRPr="002D77F3">
        <w:rPr>
          <w:rFonts w:ascii="Helvetica" w:eastAsia="Times New Roman" w:hAnsi="Helvetica" w:cs="Times New Roman"/>
          <w:color w:val="141823"/>
          <w:sz w:val="21"/>
          <w:szCs w:val="21"/>
          <w:lang w:eastAsia="en-CA"/>
        </w:rPr>
        <w:lastRenderedPageBreak/>
        <w:t xml:space="preserve">Although Moulton did not have the exclusive interest in land that Hudson Bay did, the British Columbia courts have held that “profits à </w:t>
      </w:r>
      <w:proofErr w:type="spellStart"/>
      <w:r w:rsidRPr="002D77F3">
        <w:rPr>
          <w:rFonts w:ascii="Helvetica" w:eastAsia="Times New Roman" w:hAnsi="Helvetica" w:cs="Times New Roman"/>
          <w:color w:val="141823"/>
          <w:sz w:val="21"/>
          <w:szCs w:val="21"/>
          <w:lang w:eastAsia="en-CA"/>
        </w:rPr>
        <w:t>prendre</w:t>
      </w:r>
      <w:proofErr w:type="spellEnd"/>
      <w:r w:rsidRPr="002D77F3">
        <w:rPr>
          <w:rFonts w:ascii="Helvetica" w:eastAsia="Times New Roman" w:hAnsi="Helvetica" w:cs="Times New Roman"/>
          <w:color w:val="141823"/>
          <w:sz w:val="21"/>
          <w:szCs w:val="21"/>
          <w:lang w:eastAsia="en-CA"/>
        </w:rPr>
        <w:t>” such as the right to harvest timber are sufficient to ground a claim in nuisance (see </w:t>
      </w:r>
      <w:r w:rsidRPr="002D77F3">
        <w:rPr>
          <w:rFonts w:ascii="Helvetica" w:eastAsia="Times New Roman" w:hAnsi="Helvetica" w:cs="Times New Roman"/>
          <w:i/>
          <w:iCs/>
          <w:color w:val="141823"/>
          <w:sz w:val="21"/>
          <w:szCs w:val="21"/>
          <w:lang w:eastAsia="en-CA"/>
        </w:rPr>
        <w:t>Canadian Forest Products v Sam</w:t>
      </w:r>
      <w:r w:rsidRPr="002D77F3">
        <w:rPr>
          <w:rFonts w:ascii="Helvetica" w:eastAsia="Times New Roman" w:hAnsi="Helvetica" w:cs="Times New Roman"/>
          <w:color w:val="141823"/>
          <w:sz w:val="21"/>
          <w:szCs w:val="21"/>
          <w:lang w:eastAsia="en-CA"/>
        </w:rPr>
        <w:t xml:space="preserve">, 2011 BCSC 676 at para 98). The other factual differences between the cases do not seem to preclude a nuisance claim. Whether Moulton could, in fact, have been successful in a claim of nuisance against the </w:t>
      </w:r>
      <w:proofErr w:type="spellStart"/>
      <w:r w:rsidRPr="002D77F3">
        <w:rPr>
          <w:rFonts w:ascii="Helvetica" w:eastAsia="Times New Roman" w:hAnsi="Helvetica" w:cs="Times New Roman"/>
          <w:color w:val="141823"/>
          <w:sz w:val="21"/>
          <w:szCs w:val="21"/>
          <w:lang w:eastAsia="en-CA"/>
        </w:rPr>
        <w:t>Behns</w:t>
      </w:r>
      <w:proofErr w:type="spellEnd"/>
      <w:r w:rsidRPr="002D77F3">
        <w:rPr>
          <w:rFonts w:ascii="Helvetica" w:eastAsia="Times New Roman" w:hAnsi="Helvetica" w:cs="Times New Roman"/>
          <w:color w:val="141823"/>
          <w:sz w:val="21"/>
          <w:szCs w:val="21"/>
          <w:lang w:eastAsia="en-CA"/>
        </w:rPr>
        <w:t xml:space="preserve"> remains an unanswered question. Aboriginal rights holders considering blockade actions should therefore be cautious about taking an overly optimistic view of the </w:t>
      </w:r>
      <w:r w:rsidRPr="002D77F3">
        <w:rPr>
          <w:rFonts w:ascii="Helvetica" w:eastAsia="Times New Roman" w:hAnsi="Helvetica" w:cs="Times New Roman"/>
          <w:i/>
          <w:iCs/>
          <w:color w:val="141823"/>
          <w:sz w:val="21"/>
          <w:szCs w:val="21"/>
          <w:lang w:eastAsia="en-CA"/>
        </w:rPr>
        <w:t>Moulton</w:t>
      </w:r>
      <w:r w:rsidRPr="002D77F3">
        <w:rPr>
          <w:rFonts w:ascii="Helvetica" w:eastAsia="Times New Roman" w:hAnsi="Helvetica" w:cs="Times New Roman"/>
          <w:color w:val="141823"/>
          <w:sz w:val="21"/>
          <w:szCs w:val="21"/>
          <w:lang w:eastAsia="en-CA"/>
        </w:rPr>
        <w:t> decision, and should be aware that liability in nuisance remains a serious risk. The courts have not been kind to First Nations exercising these “</w:t>
      </w:r>
      <w:proofErr w:type="spellStart"/>
      <w:r w:rsidRPr="002D77F3">
        <w:rPr>
          <w:rFonts w:ascii="Helvetica" w:eastAsia="Times New Roman" w:hAnsi="Helvetica" w:cs="Times New Roman"/>
          <w:color w:val="141823"/>
          <w:sz w:val="21"/>
          <w:szCs w:val="21"/>
          <w:lang w:eastAsia="en-CA"/>
        </w:rPr>
        <w:t>self help</w:t>
      </w:r>
      <w:proofErr w:type="spellEnd"/>
      <w:r w:rsidRPr="002D77F3">
        <w:rPr>
          <w:rFonts w:ascii="Helvetica" w:eastAsia="Times New Roman" w:hAnsi="Helvetica" w:cs="Times New Roman"/>
          <w:color w:val="141823"/>
          <w:sz w:val="21"/>
          <w:szCs w:val="21"/>
          <w:lang w:eastAsia="en-CA"/>
        </w:rPr>
        <w:t>” remedies.</w:t>
      </w:r>
    </w:p>
    <w:p w:rsidR="007E79D0" w:rsidRPr="002D77F3" w:rsidRDefault="007E79D0" w:rsidP="002D77F3"/>
    <w:sectPr w:rsidR="007E79D0" w:rsidRPr="002D77F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F787F"/>
    <w:rsid w:val="00090934"/>
    <w:rsid w:val="002D77F3"/>
    <w:rsid w:val="005203BA"/>
    <w:rsid w:val="005267BE"/>
    <w:rsid w:val="007E79D0"/>
    <w:rsid w:val="007F787F"/>
    <w:rsid w:val="00881546"/>
    <w:rsid w:val="00C94105"/>
    <w:rsid w:val="00D2550E"/>
    <w:rsid w:val="00F01745"/>
    <w:rsid w:val="00F41FF8"/>
    <w:rsid w:val="00F87158"/>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EF0FFDE-98A6-49EE-BC75-D564D6A2C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before="120" w:after="120" w:line="360" w:lineRule="auto"/>
        <w:ind w:left="714" w:hanging="357"/>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745"/>
    <w:rPr>
      <w:rFonts w:ascii="Times New Roman" w:hAnsi="Times New Roman"/>
      <w:sz w:val="24"/>
    </w:rPr>
  </w:style>
  <w:style w:type="paragraph" w:styleId="Heading1">
    <w:name w:val="heading 1"/>
    <w:basedOn w:val="Normal"/>
    <w:next w:val="Normal"/>
    <w:link w:val="Heading1Char"/>
    <w:uiPriority w:val="9"/>
    <w:qFormat/>
    <w:rsid w:val="00F41FF8"/>
    <w:pPr>
      <w:keepNext/>
      <w:keepLines/>
      <w:spacing w:before="240" w:after="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203BA"/>
    <w:pPr>
      <w:keepNext/>
      <w:keepLines/>
      <w:spacing w:before="40" w:after="0"/>
      <w:outlineLvl w:val="1"/>
    </w:pPr>
    <w:rPr>
      <w:rFonts w:asciiTheme="majorHAnsi" w:eastAsiaTheme="majorEastAsia" w:hAnsiTheme="majorHAnsi" w:cstheme="majorBidi"/>
      <w:sz w:val="26"/>
      <w:szCs w:val="26"/>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otnotes">
    <w:name w:val="Footnotes"/>
    <w:basedOn w:val="FootnoteText"/>
    <w:link w:val="FootnotesChar"/>
    <w:autoRedefine/>
    <w:qFormat/>
    <w:rsid w:val="00F87158"/>
    <w:rPr>
      <w:rFonts w:eastAsia="Times New Roman"/>
      <w:sz w:val="22"/>
      <w:szCs w:val="22"/>
      <w:lang w:val="en-US"/>
    </w:rPr>
  </w:style>
  <w:style w:type="character" w:customStyle="1" w:styleId="FootnotesChar">
    <w:name w:val="Footnotes Char"/>
    <w:basedOn w:val="FootnoteTextChar"/>
    <w:link w:val="Footnotes"/>
    <w:rsid w:val="00F87158"/>
    <w:rPr>
      <w:rFonts w:ascii="Times New Roman" w:eastAsia="Times New Roman" w:hAnsi="Times New Roman"/>
      <w:sz w:val="20"/>
      <w:szCs w:val="20"/>
      <w:lang w:val="en-US"/>
    </w:rPr>
  </w:style>
  <w:style w:type="paragraph" w:styleId="FootnoteText">
    <w:name w:val="footnote text"/>
    <w:basedOn w:val="Normal"/>
    <w:link w:val="FootnoteTextChar"/>
    <w:uiPriority w:val="99"/>
    <w:semiHidden/>
    <w:unhideWhenUsed/>
    <w:rsid w:val="00C9410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94105"/>
    <w:rPr>
      <w:rFonts w:ascii="Times New Roman" w:hAnsi="Times New Roman"/>
      <w:sz w:val="20"/>
      <w:szCs w:val="20"/>
    </w:rPr>
  </w:style>
  <w:style w:type="character" w:customStyle="1" w:styleId="Heading1Char">
    <w:name w:val="Heading 1 Char"/>
    <w:basedOn w:val="DefaultParagraphFont"/>
    <w:link w:val="Heading1"/>
    <w:uiPriority w:val="9"/>
    <w:rsid w:val="00F41FF8"/>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203BA"/>
    <w:rPr>
      <w:rFonts w:asciiTheme="majorHAnsi" w:eastAsiaTheme="majorEastAsia" w:hAnsiTheme="majorHAnsi" w:cstheme="majorBidi"/>
      <w:sz w:val="26"/>
      <w:szCs w:val="26"/>
      <w:u w:val="single"/>
    </w:rPr>
  </w:style>
  <w:style w:type="character" w:styleId="Hyperlink">
    <w:name w:val="Hyperlink"/>
    <w:basedOn w:val="DefaultParagraphFont"/>
    <w:uiPriority w:val="99"/>
    <w:semiHidden/>
    <w:unhideWhenUsed/>
    <w:rsid w:val="007F787F"/>
    <w:rPr>
      <w:color w:val="0000FF"/>
      <w:u w:val="single"/>
    </w:rPr>
  </w:style>
  <w:style w:type="paragraph" w:styleId="NormalWeb">
    <w:name w:val="Normal (Web)"/>
    <w:basedOn w:val="Normal"/>
    <w:uiPriority w:val="99"/>
    <w:semiHidden/>
    <w:unhideWhenUsed/>
    <w:rsid w:val="007F787F"/>
    <w:pPr>
      <w:spacing w:before="100" w:beforeAutospacing="1" w:after="100" w:afterAutospacing="1" w:line="240" w:lineRule="auto"/>
      <w:ind w:left="0" w:firstLine="0"/>
      <w:jc w:val="left"/>
    </w:pPr>
    <w:rPr>
      <w:rFonts w:eastAsia="Times New Roman" w:cs="Times New Roman"/>
      <w:szCs w:val="24"/>
      <w:lang w:eastAsia="en-CA"/>
    </w:rPr>
  </w:style>
  <w:style w:type="character" w:customStyle="1" w:styleId="apple-converted-space">
    <w:name w:val="apple-converted-space"/>
    <w:basedOn w:val="DefaultParagraphFont"/>
    <w:rsid w:val="007F787F"/>
  </w:style>
  <w:style w:type="character" w:styleId="Emphasis">
    <w:name w:val="Emphasis"/>
    <w:basedOn w:val="DefaultParagraphFont"/>
    <w:uiPriority w:val="20"/>
    <w:qFormat/>
    <w:rsid w:val="007F787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6998834">
      <w:bodyDiv w:val="1"/>
      <w:marLeft w:val="0"/>
      <w:marRight w:val="0"/>
      <w:marTop w:val="0"/>
      <w:marBottom w:val="0"/>
      <w:divBdr>
        <w:top w:val="none" w:sz="0" w:space="0" w:color="auto"/>
        <w:left w:val="none" w:sz="0" w:space="0" w:color="auto"/>
        <w:bottom w:val="none" w:sz="0" w:space="0" w:color="auto"/>
        <w:right w:val="none" w:sz="0" w:space="0" w:color="auto"/>
      </w:divBdr>
      <w:divsChild>
        <w:div w:id="1203127251">
          <w:marLeft w:val="0"/>
          <w:marRight w:val="0"/>
          <w:marTop w:val="0"/>
          <w:marBottom w:val="0"/>
          <w:divBdr>
            <w:top w:val="none" w:sz="0" w:space="0" w:color="auto"/>
            <w:left w:val="none" w:sz="0" w:space="0" w:color="auto"/>
            <w:bottom w:val="none" w:sz="0" w:space="0" w:color="auto"/>
            <w:right w:val="none" w:sz="0" w:space="0" w:color="auto"/>
          </w:divBdr>
        </w:div>
        <w:div w:id="75056524">
          <w:marLeft w:val="0"/>
          <w:marRight w:val="0"/>
          <w:marTop w:val="75"/>
          <w:marBottom w:val="0"/>
          <w:divBdr>
            <w:top w:val="none" w:sz="0" w:space="0" w:color="auto"/>
            <w:left w:val="none" w:sz="0" w:space="0" w:color="auto"/>
            <w:bottom w:val="none" w:sz="0" w:space="0" w:color="auto"/>
            <w:right w:val="none" w:sz="0" w:space="0" w:color="auto"/>
          </w:divBdr>
        </w:div>
        <w:div w:id="1195772028">
          <w:marLeft w:val="0"/>
          <w:marRight w:val="0"/>
          <w:marTop w:val="240"/>
          <w:marBottom w:val="0"/>
          <w:divBdr>
            <w:top w:val="none" w:sz="0" w:space="0" w:color="auto"/>
            <w:left w:val="none" w:sz="0" w:space="0" w:color="auto"/>
            <w:bottom w:val="none" w:sz="0" w:space="0" w:color="auto"/>
            <w:right w:val="none" w:sz="0" w:space="0" w:color="auto"/>
          </w:divBdr>
          <w:divsChild>
            <w:div w:id="913441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260889">
      <w:bodyDiv w:val="1"/>
      <w:marLeft w:val="0"/>
      <w:marRight w:val="0"/>
      <w:marTop w:val="0"/>
      <w:marBottom w:val="0"/>
      <w:divBdr>
        <w:top w:val="none" w:sz="0" w:space="0" w:color="auto"/>
        <w:left w:val="none" w:sz="0" w:space="0" w:color="auto"/>
        <w:bottom w:val="none" w:sz="0" w:space="0" w:color="auto"/>
        <w:right w:val="none" w:sz="0" w:space="0" w:color="auto"/>
      </w:divBdr>
      <w:divsChild>
        <w:div w:id="1455102003">
          <w:marLeft w:val="0"/>
          <w:marRight w:val="0"/>
          <w:marTop w:val="0"/>
          <w:marBottom w:val="0"/>
          <w:divBdr>
            <w:top w:val="none" w:sz="0" w:space="0" w:color="auto"/>
            <w:left w:val="none" w:sz="0" w:space="0" w:color="auto"/>
            <w:bottom w:val="none" w:sz="0" w:space="0" w:color="auto"/>
            <w:right w:val="none" w:sz="0" w:space="0" w:color="auto"/>
          </w:divBdr>
        </w:div>
        <w:div w:id="2091344317">
          <w:marLeft w:val="0"/>
          <w:marRight w:val="0"/>
          <w:marTop w:val="75"/>
          <w:marBottom w:val="0"/>
          <w:divBdr>
            <w:top w:val="none" w:sz="0" w:space="0" w:color="auto"/>
            <w:left w:val="none" w:sz="0" w:space="0" w:color="auto"/>
            <w:bottom w:val="none" w:sz="0" w:space="0" w:color="auto"/>
            <w:right w:val="none" w:sz="0" w:space="0" w:color="auto"/>
          </w:divBdr>
        </w:div>
        <w:div w:id="2067095629">
          <w:marLeft w:val="0"/>
          <w:marRight w:val="0"/>
          <w:marTop w:val="240"/>
          <w:marBottom w:val="0"/>
          <w:divBdr>
            <w:top w:val="none" w:sz="0" w:space="0" w:color="auto"/>
            <w:left w:val="none" w:sz="0" w:space="0" w:color="auto"/>
            <w:bottom w:val="none" w:sz="0" w:space="0" w:color="auto"/>
            <w:right w:val="none" w:sz="0" w:space="0" w:color="auto"/>
          </w:divBdr>
          <w:divsChild>
            <w:div w:id="687295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936475">
      <w:bodyDiv w:val="1"/>
      <w:marLeft w:val="0"/>
      <w:marRight w:val="0"/>
      <w:marTop w:val="0"/>
      <w:marBottom w:val="0"/>
      <w:divBdr>
        <w:top w:val="none" w:sz="0" w:space="0" w:color="auto"/>
        <w:left w:val="none" w:sz="0" w:space="0" w:color="auto"/>
        <w:bottom w:val="none" w:sz="0" w:space="0" w:color="auto"/>
        <w:right w:val="none" w:sz="0" w:space="0" w:color="auto"/>
      </w:divBdr>
      <w:divsChild>
        <w:div w:id="144470265">
          <w:marLeft w:val="0"/>
          <w:marRight w:val="0"/>
          <w:marTop w:val="0"/>
          <w:marBottom w:val="0"/>
          <w:divBdr>
            <w:top w:val="none" w:sz="0" w:space="0" w:color="auto"/>
            <w:left w:val="none" w:sz="0" w:space="0" w:color="auto"/>
            <w:bottom w:val="none" w:sz="0" w:space="0" w:color="auto"/>
            <w:right w:val="none" w:sz="0" w:space="0" w:color="auto"/>
          </w:divBdr>
        </w:div>
        <w:div w:id="817379592">
          <w:marLeft w:val="0"/>
          <w:marRight w:val="0"/>
          <w:marTop w:val="75"/>
          <w:marBottom w:val="0"/>
          <w:divBdr>
            <w:top w:val="none" w:sz="0" w:space="0" w:color="auto"/>
            <w:left w:val="none" w:sz="0" w:space="0" w:color="auto"/>
            <w:bottom w:val="none" w:sz="0" w:space="0" w:color="auto"/>
            <w:right w:val="none" w:sz="0" w:space="0" w:color="auto"/>
          </w:divBdr>
        </w:div>
        <w:div w:id="652031871">
          <w:marLeft w:val="0"/>
          <w:marRight w:val="0"/>
          <w:marTop w:val="240"/>
          <w:marBottom w:val="0"/>
          <w:divBdr>
            <w:top w:val="none" w:sz="0" w:space="0" w:color="auto"/>
            <w:left w:val="none" w:sz="0" w:space="0" w:color="auto"/>
            <w:bottom w:val="none" w:sz="0" w:space="0" w:color="auto"/>
            <w:right w:val="none" w:sz="0" w:space="0" w:color="auto"/>
          </w:divBdr>
          <w:divsChild>
            <w:div w:id="41711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31596">
      <w:bodyDiv w:val="1"/>
      <w:marLeft w:val="0"/>
      <w:marRight w:val="0"/>
      <w:marTop w:val="0"/>
      <w:marBottom w:val="0"/>
      <w:divBdr>
        <w:top w:val="none" w:sz="0" w:space="0" w:color="auto"/>
        <w:left w:val="none" w:sz="0" w:space="0" w:color="auto"/>
        <w:bottom w:val="none" w:sz="0" w:space="0" w:color="auto"/>
        <w:right w:val="none" w:sz="0" w:space="0" w:color="auto"/>
      </w:divBdr>
      <w:divsChild>
        <w:div w:id="1504473936">
          <w:marLeft w:val="0"/>
          <w:marRight w:val="0"/>
          <w:marTop w:val="0"/>
          <w:marBottom w:val="0"/>
          <w:divBdr>
            <w:top w:val="none" w:sz="0" w:space="0" w:color="auto"/>
            <w:left w:val="none" w:sz="0" w:space="0" w:color="auto"/>
            <w:bottom w:val="none" w:sz="0" w:space="0" w:color="auto"/>
            <w:right w:val="none" w:sz="0" w:space="0" w:color="auto"/>
          </w:divBdr>
        </w:div>
        <w:div w:id="1970352229">
          <w:marLeft w:val="0"/>
          <w:marRight w:val="0"/>
          <w:marTop w:val="75"/>
          <w:marBottom w:val="0"/>
          <w:divBdr>
            <w:top w:val="none" w:sz="0" w:space="0" w:color="auto"/>
            <w:left w:val="none" w:sz="0" w:space="0" w:color="auto"/>
            <w:bottom w:val="none" w:sz="0" w:space="0" w:color="auto"/>
            <w:right w:val="none" w:sz="0" w:space="0" w:color="auto"/>
          </w:divBdr>
        </w:div>
        <w:div w:id="475293795">
          <w:marLeft w:val="0"/>
          <w:marRight w:val="0"/>
          <w:marTop w:val="240"/>
          <w:marBottom w:val="0"/>
          <w:divBdr>
            <w:top w:val="none" w:sz="0" w:space="0" w:color="auto"/>
            <w:left w:val="none" w:sz="0" w:space="0" w:color="auto"/>
            <w:bottom w:val="none" w:sz="0" w:space="0" w:color="auto"/>
            <w:right w:val="none" w:sz="0" w:space="0" w:color="auto"/>
          </w:divBdr>
          <w:divsChild>
            <w:div w:id="378819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l.facebook.com/l.php?u=http%3A%2F%2Fbit.ly%2FDGMoulton&amp;h=CAQFExA41&amp;s=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605</Words>
  <Characters>3454</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4051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software reg</dc:creator>
  <cp:keywords/>
  <dc:description/>
  <cp:lastModifiedBy>software reg</cp:lastModifiedBy>
  <cp:revision>2</cp:revision>
  <dcterms:created xsi:type="dcterms:W3CDTF">2014-12-04T18:03:00Z</dcterms:created>
  <dcterms:modified xsi:type="dcterms:W3CDTF">2014-12-04T18:03:00Z</dcterms:modified>
</cp:coreProperties>
</file>