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19" w:rsidRPr="008C2C19" w:rsidRDefault="008C2C19" w:rsidP="008C2C19">
      <w:pPr>
        <w:jc w:val="both"/>
        <w:rPr>
          <w:rFonts w:ascii="Helvetica" w:hAnsi="Helvetica"/>
          <w:b/>
          <w:sz w:val="36"/>
          <w:szCs w:val="36"/>
        </w:rPr>
      </w:pPr>
      <w:r w:rsidRPr="008C2C19">
        <w:rPr>
          <w:rFonts w:ascii="Helvetica" w:hAnsi="Helvetica"/>
          <w:b/>
          <w:sz w:val="36"/>
          <w:szCs w:val="36"/>
        </w:rPr>
        <w:t xml:space="preserve">Case Brief - </w:t>
      </w:r>
      <w:proofErr w:type="spellStart"/>
      <w:r w:rsidRPr="008C2C19">
        <w:rPr>
          <w:rFonts w:ascii="Helvetica" w:hAnsi="Helvetica"/>
          <w:b/>
          <w:i/>
          <w:sz w:val="36"/>
          <w:szCs w:val="36"/>
        </w:rPr>
        <w:t>Kahkewistahaw</w:t>
      </w:r>
      <w:proofErr w:type="spellEnd"/>
      <w:r w:rsidRPr="008C2C19">
        <w:rPr>
          <w:rFonts w:ascii="Helvetica" w:hAnsi="Helvetica"/>
          <w:b/>
          <w:i/>
          <w:sz w:val="36"/>
          <w:szCs w:val="36"/>
        </w:rPr>
        <w:t xml:space="preserve"> First Nation v. </w:t>
      </w:r>
      <w:proofErr w:type="spellStart"/>
      <w:r w:rsidRPr="008C2C19">
        <w:rPr>
          <w:rFonts w:ascii="Helvetica" w:hAnsi="Helvetica"/>
          <w:b/>
          <w:i/>
          <w:sz w:val="36"/>
          <w:szCs w:val="36"/>
        </w:rPr>
        <w:t>Taypotat</w:t>
      </w:r>
      <w:proofErr w:type="spellEnd"/>
      <w:r w:rsidRPr="008C2C19">
        <w:rPr>
          <w:rFonts w:ascii="Helvetica" w:hAnsi="Helvetica"/>
          <w:b/>
          <w:i/>
          <w:sz w:val="36"/>
          <w:szCs w:val="36"/>
        </w:rPr>
        <w:t xml:space="preserve">, </w:t>
      </w:r>
      <w:r w:rsidRPr="008C2C19">
        <w:rPr>
          <w:rFonts w:ascii="Helvetica" w:hAnsi="Helvetica"/>
          <w:b/>
          <w:sz w:val="36"/>
          <w:szCs w:val="36"/>
        </w:rPr>
        <w:t xml:space="preserve">2015 </w:t>
      </w:r>
      <w:proofErr w:type="spellStart"/>
      <w:r w:rsidRPr="008C2C19">
        <w:rPr>
          <w:rFonts w:ascii="Helvetica" w:hAnsi="Helvetica"/>
          <w:b/>
          <w:sz w:val="36"/>
          <w:szCs w:val="36"/>
        </w:rPr>
        <w:t>SCC</w:t>
      </w:r>
      <w:proofErr w:type="spellEnd"/>
      <w:r w:rsidRPr="008C2C19">
        <w:rPr>
          <w:rFonts w:ascii="Helvetica" w:hAnsi="Helvetica"/>
          <w:b/>
          <w:sz w:val="36"/>
          <w:szCs w:val="36"/>
        </w:rPr>
        <w:t xml:space="preserve"> 30</w:t>
      </w:r>
    </w:p>
    <w:p w:rsidR="008C2C19" w:rsidRPr="008C2C19" w:rsidRDefault="008C2C19" w:rsidP="008C2C19">
      <w:pPr>
        <w:jc w:val="both"/>
        <w:rPr>
          <w:rFonts w:ascii="Helvetica" w:hAnsi="Helvetica"/>
          <w:bCs/>
          <w:color w:val="141823"/>
          <w:sz w:val="16"/>
          <w:szCs w:val="16"/>
          <w:lang w:eastAsia="en-CA"/>
        </w:rPr>
      </w:pPr>
    </w:p>
    <w:p w:rsidR="008C2C19" w:rsidRPr="008C2C19" w:rsidRDefault="008C2C19" w:rsidP="008C2C19">
      <w:pPr>
        <w:jc w:val="both"/>
        <w:rPr>
          <w:rFonts w:ascii="Helvetica" w:hAnsi="Helvetica"/>
          <w:bCs/>
          <w:color w:val="141823"/>
          <w:sz w:val="16"/>
          <w:szCs w:val="16"/>
          <w:lang w:eastAsia="en-CA"/>
        </w:rPr>
      </w:pPr>
      <w:r w:rsidRPr="008C2C19">
        <w:rPr>
          <w:rFonts w:ascii="Helvetica" w:hAnsi="Helvetica"/>
          <w:bCs/>
          <w:color w:val="141823"/>
          <w:sz w:val="16"/>
          <w:szCs w:val="16"/>
          <w:lang w:eastAsia="en-CA"/>
        </w:rPr>
        <w:t>By: Caitlin Mason</w:t>
      </w:r>
    </w:p>
    <w:p w:rsidR="008C2C19" w:rsidRPr="008C2C19" w:rsidRDefault="008C2C19" w:rsidP="008C2C19">
      <w:pPr>
        <w:jc w:val="both"/>
        <w:rPr>
          <w:rFonts w:ascii="Helvetica" w:hAnsi="Helvetica"/>
          <w:b/>
          <w:u w:val="single"/>
        </w:rPr>
      </w:pPr>
    </w:p>
    <w:p w:rsidR="008C2C19" w:rsidRPr="008C2C19" w:rsidRDefault="008C2C19" w:rsidP="008C2C19">
      <w:pPr>
        <w:jc w:val="both"/>
        <w:rPr>
          <w:rFonts w:ascii="Helvetica" w:hAnsi="Helvetica"/>
          <w:b/>
          <w:sz w:val="21"/>
          <w:szCs w:val="21"/>
          <w:u w:val="single"/>
        </w:rPr>
      </w:pPr>
      <w:r w:rsidRPr="008C2C19">
        <w:rPr>
          <w:rFonts w:ascii="Helvetica" w:hAnsi="Helvetica"/>
          <w:b/>
          <w:sz w:val="21"/>
          <w:szCs w:val="21"/>
          <w:u w:val="single"/>
        </w:rPr>
        <w:t>Facts</w:t>
      </w:r>
    </w:p>
    <w:p w:rsidR="008C2C19" w:rsidRPr="008C2C19" w:rsidRDefault="008C2C19" w:rsidP="008C2C19">
      <w:pPr>
        <w:jc w:val="both"/>
        <w:rPr>
          <w:rFonts w:ascii="Helvetica" w:hAnsi="Helvetica"/>
          <w:sz w:val="21"/>
          <w:szCs w:val="21"/>
        </w:rPr>
      </w:pPr>
    </w:p>
    <w:p w:rsidR="008C2C19" w:rsidRPr="008C2C19" w:rsidRDefault="008C2C19" w:rsidP="008C2C19">
      <w:pPr>
        <w:jc w:val="both"/>
        <w:rPr>
          <w:rFonts w:ascii="Helvetica" w:hAnsi="Helvetica"/>
          <w:sz w:val="21"/>
          <w:szCs w:val="21"/>
        </w:rPr>
      </w:pPr>
      <w:proofErr w:type="spellStart"/>
      <w:r w:rsidRPr="008C2C19">
        <w:rPr>
          <w:rFonts w:ascii="Helvetica" w:hAnsi="Helvetica"/>
          <w:sz w:val="21"/>
          <w:szCs w:val="21"/>
        </w:rPr>
        <w:t>Kahkewistahaw</w:t>
      </w:r>
      <w:proofErr w:type="spellEnd"/>
      <w:r w:rsidRPr="008C2C19">
        <w:rPr>
          <w:rFonts w:ascii="Helvetica" w:hAnsi="Helvetica"/>
          <w:sz w:val="21"/>
          <w:szCs w:val="21"/>
        </w:rPr>
        <w:t xml:space="preserve"> First Nation in Saskatchewan spent 13 years developing an Election Code which included a Grade 12 education</w:t>
      </w:r>
      <w:r w:rsidRPr="008C2C19">
        <w:rPr>
          <w:rFonts w:ascii="Helvetica" w:hAnsi="Helvetica"/>
          <w:b/>
          <w:bCs/>
          <w:sz w:val="21"/>
          <w:szCs w:val="21"/>
        </w:rPr>
        <w:t xml:space="preserve"> </w:t>
      </w:r>
      <w:r w:rsidRPr="008C2C19">
        <w:rPr>
          <w:rFonts w:ascii="Helvetica" w:hAnsi="Helvetica"/>
          <w:sz w:val="21"/>
          <w:szCs w:val="21"/>
        </w:rPr>
        <w:t xml:space="preserve">requirement for candidates who wished to be Chief or a Band Councillor. Louis </w:t>
      </w:r>
      <w:proofErr w:type="spellStart"/>
      <w:r w:rsidRPr="008C2C19">
        <w:rPr>
          <w:rFonts w:ascii="Helvetica" w:hAnsi="Helvetica"/>
          <w:sz w:val="21"/>
          <w:szCs w:val="21"/>
        </w:rPr>
        <w:t>Taypotat</w:t>
      </w:r>
      <w:proofErr w:type="spellEnd"/>
      <w:r w:rsidRPr="008C2C19">
        <w:rPr>
          <w:rFonts w:ascii="Helvetica" w:hAnsi="Helvetica"/>
          <w:sz w:val="21"/>
          <w:szCs w:val="21"/>
        </w:rPr>
        <w:t xml:space="preserve">, who had been Chief for most of the previous three decades, was 76 years old and had a Grade 10 education. </w:t>
      </w:r>
    </w:p>
    <w:p w:rsidR="008C2C19" w:rsidRPr="008C2C19" w:rsidRDefault="008C2C19" w:rsidP="008C2C19">
      <w:pPr>
        <w:jc w:val="both"/>
        <w:rPr>
          <w:rFonts w:ascii="Helvetica" w:hAnsi="Helvetica"/>
          <w:sz w:val="21"/>
          <w:szCs w:val="21"/>
        </w:rPr>
      </w:pPr>
    </w:p>
    <w:p w:rsidR="008C2C19" w:rsidRPr="008C2C19" w:rsidRDefault="008C2C19" w:rsidP="008C2C19">
      <w:pPr>
        <w:jc w:val="both"/>
        <w:rPr>
          <w:rFonts w:ascii="Helvetica" w:hAnsi="Helvetica"/>
          <w:sz w:val="21"/>
          <w:szCs w:val="21"/>
        </w:rPr>
      </w:pPr>
      <w:r w:rsidRPr="008C2C19">
        <w:rPr>
          <w:rFonts w:ascii="Helvetica" w:hAnsi="Helvetica"/>
          <w:sz w:val="21"/>
          <w:szCs w:val="21"/>
        </w:rPr>
        <w:t xml:space="preserve">Despite the fact that he was Chief for much of the consultation process that led to the development of the new Election Code, he challenged the process, his disqualification and the constitutionality of the Grade 12 requirement. He argued that  was that the Grade 12 educational requirement violated s. 15(1)  of the </w:t>
      </w:r>
      <w:r w:rsidRPr="008C2C19">
        <w:rPr>
          <w:rFonts w:ascii="Helvetica" w:hAnsi="Helvetica"/>
          <w:i/>
          <w:iCs/>
          <w:sz w:val="21"/>
          <w:szCs w:val="21"/>
        </w:rPr>
        <w:t>Canadian Charter of Rights and Freedoms </w:t>
      </w:r>
      <w:r w:rsidRPr="008C2C19">
        <w:rPr>
          <w:rFonts w:ascii="Helvetica" w:hAnsi="Helvetica"/>
          <w:sz w:val="21"/>
          <w:szCs w:val="21"/>
        </w:rPr>
        <w:t xml:space="preserve"> (“the “Charter”) because “educational attainment is analogous to race and age” for the purposes of s. 15(1) . </w:t>
      </w:r>
    </w:p>
    <w:p w:rsidR="008C2C19" w:rsidRPr="008C2C19" w:rsidRDefault="008C2C19" w:rsidP="008C2C19">
      <w:pPr>
        <w:jc w:val="both"/>
        <w:rPr>
          <w:rFonts w:ascii="Helvetica" w:hAnsi="Helvetica"/>
          <w:sz w:val="21"/>
          <w:szCs w:val="21"/>
        </w:rPr>
      </w:pPr>
    </w:p>
    <w:p w:rsidR="008C2C19" w:rsidRPr="008C2C19" w:rsidRDefault="008C2C19" w:rsidP="008C2C19">
      <w:pPr>
        <w:jc w:val="both"/>
        <w:rPr>
          <w:rFonts w:ascii="Helvetica" w:hAnsi="Helvetica"/>
          <w:sz w:val="21"/>
          <w:szCs w:val="21"/>
        </w:rPr>
      </w:pPr>
      <w:r w:rsidRPr="008C2C19">
        <w:rPr>
          <w:rFonts w:ascii="Helvetica" w:hAnsi="Helvetica"/>
          <w:sz w:val="21"/>
          <w:szCs w:val="21"/>
        </w:rPr>
        <w:t xml:space="preserve">In the Federal Court, de </w:t>
      </w:r>
      <w:proofErr w:type="spellStart"/>
      <w:r w:rsidRPr="008C2C19">
        <w:rPr>
          <w:rFonts w:ascii="Helvetica" w:hAnsi="Helvetica"/>
          <w:sz w:val="21"/>
          <w:szCs w:val="21"/>
        </w:rPr>
        <w:t>Montigny</w:t>
      </w:r>
      <w:proofErr w:type="spellEnd"/>
      <w:r w:rsidRPr="008C2C19">
        <w:rPr>
          <w:rFonts w:ascii="Helvetica" w:hAnsi="Helvetica"/>
          <w:sz w:val="21"/>
          <w:szCs w:val="21"/>
        </w:rPr>
        <w:t xml:space="preserve"> J. dismissed the application. The Federal Court of Appeal allowed the appeal, finding that the educational requirement was discriminatory because it has a disproportionate effect on older community members who live on a reserve.</w:t>
      </w:r>
      <w:r w:rsidRPr="008C2C19">
        <w:rPr>
          <w:rStyle w:val="FootnoteReference"/>
          <w:rFonts w:ascii="Helvetica" w:hAnsi="Helvetica"/>
          <w:sz w:val="21"/>
          <w:szCs w:val="21"/>
        </w:rPr>
        <w:t xml:space="preserve"> </w:t>
      </w:r>
      <w:r w:rsidRPr="008C2C19">
        <w:rPr>
          <w:rStyle w:val="FootnoteReference"/>
          <w:rFonts w:ascii="Helvetica" w:hAnsi="Helvetica"/>
          <w:sz w:val="21"/>
          <w:szCs w:val="21"/>
        </w:rPr>
        <w:footnoteReference w:id="1"/>
      </w:r>
      <w:r w:rsidRPr="008C2C19">
        <w:rPr>
          <w:rFonts w:ascii="Helvetica" w:hAnsi="Helvetica"/>
          <w:sz w:val="21"/>
          <w:szCs w:val="21"/>
        </w:rPr>
        <w:t>   On May 28, 2015, the Supreme Court of Canada (“</w:t>
      </w:r>
      <w:proofErr w:type="spellStart"/>
      <w:r w:rsidRPr="008C2C19">
        <w:rPr>
          <w:rFonts w:ascii="Helvetica" w:hAnsi="Helvetica"/>
          <w:sz w:val="21"/>
          <w:szCs w:val="21"/>
        </w:rPr>
        <w:t>SCC</w:t>
      </w:r>
      <w:proofErr w:type="spellEnd"/>
      <w:r w:rsidRPr="008C2C19">
        <w:rPr>
          <w:rFonts w:ascii="Helvetica" w:hAnsi="Helvetica"/>
          <w:sz w:val="21"/>
          <w:szCs w:val="21"/>
        </w:rPr>
        <w:t xml:space="preserve">”)overturned the Court of Appeal’s decision in </w:t>
      </w:r>
      <w:proofErr w:type="spellStart"/>
      <w:r w:rsidRPr="008C2C19">
        <w:rPr>
          <w:rFonts w:ascii="Helvetica" w:hAnsi="Helvetica"/>
          <w:i/>
          <w:sz w:val="21"/>
          <w:szCs w:val="21"/>
        </w:rPr>
        <w:t>Kahkewistahaw</w:t>
      </w:r>
      <w:proofErr w:type="spellEnd"/>
      <w:r w:rsidRPr="008C2C19">
        <w:rPr>
          <w:rFonts w:ascii="Helvetica" w:hAnsi="Helvetica"/>
          <w:i/>
          <w:sz w:val="21"/>
          <w:szCs w:val="21"/>
        </w:rPr>
        <w:t xml:space="preserve"> First Nation v. </w:t>
      </w:r>
      <w:proofErr w:type="spellStart"/>
      <w:r w:rsidRPr="008C2C19">
        <w:rPr>
          <w:rFonts w:ascii="Helvetica" w:hAnsi="Helvetica"/>
          <w:i/>
          <w:sz w:val="21"/>
          <w:szCs w:val="21"/>
        </w:rPr>
        <w:t>Taypotat</w:t>
      </w:r>
      <w:proofErr w:type="spellEnd"/>
      <w:r w:rsidRPr="008C2C19">
        <w:rPr>
          <w:rFonts w:ascii="Helvetica" w:hAnsi="Helvetica"/>
          <w:i/>
          <w:sz w:val="21"/>
          <w:szCs w:val="21"/>
        </w:rPr>
        <w:t xml:space="preserve">, </w:t>
      </w:r>
      <w:r w:rsidRPr="008C2C19">
        <w:rPr>
          <w:rFonts w:ascii="Helvetica" w:hAnsi="Helvetica"/>
          <w:sz w:val="21"/>
          <w:szCs w:val="21"/>
        </w:rPr>
        <w:t xml:space="preserve">2015 </w:t>
      </w:r>
      <w:proofErr w:type="spellStart"/>
      <w:r w:rsidRPr="008C2C19">
        <w:rPr>
          <w:rFonts w:ascii="Helvetica" w:hAnsi="Helvetica"/>
          <w:sz w:val="21"/>
          <w:szCs w:val="21"/>
        </w:rPr>
        <w:t>SCC</w:t>
      </w:r>
      <w:proofErr w:type="spellEnd"/>
      <w:r w:rsidRPr="008C2C19">
        <w:rPr>
          <w:rFonts w:ascii="Helvetica" w:hAnsi="Helvetica"/>
          <w:sz w:val="21"/>
          <w:szCs w:val="21"/>
        </w:rPr>
        <w:t xml:space="preserve"> 30 (“</w:t>
      </w:r>
      <w:proofErr w:type="spellStart"/>
      <w:r w:rsidRPr="008C2C19">
        <w:rPr>
          <w:rFonts w:ascii="Helvetica" w:hAnsi="Helvetica"/>
          <w:sz w:val="21"/>
          <w:szCs w:val="21"/>
        </w:rPr>
        <w:t>KFN</w:t>
      </w:r>
      <w:proofErr w:type="spellEnd"/>
      <w:r w:rsidRPr="008C2C19">
        <w:rPr>
          <w:rFonts w:ascii="Helvetica" w:hAnsi="Helvetica"/>
          <w:sz w:val="21"/>
          <w:szCs w:val="21"/>
        </w:rPr>
        <w:t xml:space="preserve">”). </w:t>
      </w:r>
    </w:p>
    <w:p w:rsidR="008C2C19" w:rsidRPr="008C2C19" w:rsidRDefault="008C2C19" w:rsidP="008C2C19">
      <w:pPr>
        <w:jc w:val="both"/>
        <w:rPr>
          <w:rFonts w:ascii="Helvetica" w:hAnsi="Helvetica"/>
          <w:sz w:val="21"/>
          <w:szCs w:val="21"/>
        </w:rPr>
      </w:pPr>
    </w:p>
    <w:p w:rsidR="008C2C19" w:rsidRPr="008C2C19" w:rsidRDefault="008C2C19" w:rsidP="008C2C19">
      <w:pPr>
        <w:jc w:val="both"/>
        <w:rPr>
          <w:rFonts w:ascii="Helvetica" w:hAnsi="Helvetica"/>
          <w:b/>
          <w:sz w:val="21"/>
          <w:szCs w:val="21"/>
          <w:u w:val="single"/>
          <w:lang w:val="en-CA"/>
        </w:rPr>
      </w:pPr>
      <w:r w:rsidRPr="008C2C19">
        <w:rPr>
          <w:rFonts w:ascii="Helvetica" w:hAnsi="Helvetica"/>
          <w:b/>
          <w:sz w:val="21"/>
          <w:szCs w:val="21"/>
          <w:u w:val="single"/>
          <w:lang w:val="en-CA"/>
        </w:rPr>
        <w:t>Decision</w:t>
      </w:r>
    </w:p>
    <w:p w:rsidR="008C2C19" w:rsidRPr="008C2C19" w:rsidRDefault="008C2C19" w:rsidP="008C2C19">
      <w:pPr>
        <w:jc w:val="both"/>
        <w:rPr>
          <w:rFonts w:ascii="Helvetica" w:hAnsi="Helvetica"/>
          <w:sz w:val="21"/>
          <w:szCs w:val="21"/>
        </w:rPr>
      </w:pPr>
    </w:p>
    <w:p w:rsidR="008C2C19" w:rsidRPr="008C2C19" w:rsidRDefault="008C2C19" w:rsidP="008C2C19">
      <w:pPr>
        <w:jc w:val="both"/>
        <w:rPr>
          <w:rFonts w:ascii="Helvetica" w:hAnsi="Helvetica"/>
          <w:sz w:val="21"/>
          <w:szCs w:val="21"/>
        </w:rPr>
      </w:pPr>
      <w:r w:rsidRPr="008C2C19">
        <w:rPr>
          <w:rFonts w:ascii="Helvetica" w:hAnsi="Helvetica"/>
          <w:sz w:val="21"/>
          <w:szCs w:val="21"/>
        </w:rPr>
        <w:t>15(1) of the Charter provides that:</w:t>
      </w:r>
    </w:p>
    <w:p w:rsidR="008C2C19" w:rsidRPr="008C2C19" w:rsidRDefault="008C2C19" w:rsidP="008C2C19">
      <w:pPr>
        <w:jc w:val="both"/>
        <w:rPr>
          <w:rFonts w:ascii="Helvetica" w:hAnsi="Helvetica"/>
          <w:sz w:val="21"/>
          <w:szCs w:val="21"/>
        </w:rPr>
      </w:pPr>
    </w:p>
    <w:p w:rsidR="008C2C19" w:rsidRPr="008C2C19" w:rsidRDefault="008C2C19" w:rsidP="008C2C19">
      <w:pPr>
        <w:ind w:left="1134" w:right="1269"/>
        <w:jc w:val="both"/>
        <w:rPr>
          <w:rFonts w:ascii="Helvetica" w:hAnsi="Helvetica"/>
          <w:sz w:val="21"/>
          <w:szCs w:val="21"/>
        </w:rPr>
      </w:pPr>
      <w:r w:rsidRPr="008C2C19">
        <w:rPr>
          <w:rFonts w:ascii="Helvetica" w:hAnsi="Helvetica"/>
          <w:sz w:val="21"/>
          <w:szCs w:val="21"/>
        </w:rPr>
        <w:t xml:space="preserve">Every individual is equal before and under the law and has the right to the equal protection and equal benefit of the law without discrimination and, in particular, without discrimination based on race, national or ethnic origin, </w:t>
      </w:r>
      <w:proofErr w:type="spellStart"/>
      <w:r w:rsidRPr="008C2C19">
        <w:rPr>
          <w:rFonts w:ascii="Helvetica" w:hAnsi="Helvetica"/>
          <w:sz w:val="21"/>
          <w:szCs w:val="21"/>
        </w:rPr>
        <w:t>colour</w:t>
      </w:r>
      <w:proofErr w:type="spellEnd"/>
      <w:r w:rsidRPr="008C2C19">
        <w:rPr>
          <w:rFonts w:ascii="Helvetica" w:hAnsi="Helvetica"/>
          <w:sz w:val="21"/>
          <w:szCs w:val="21"/>
        </w:rPr>
        <w:t>, religion, sex, age or mental or physical disability.</w:t>
      </w:r>
    </w:p>
    <w:p w:rsidR="008C2C19" w:rsidRPr="008C2C19" w:rsidRDefault="008C2C19" w:rsidP="008C2C19">
      <w:pPr>
        <w:jc w:val="both"/>
        <w:rPr>
          <w:rFonts w:ascii="Helvetica" w:hAnsi="Helvetica"/>
          <w:sz w:val="21"/>
          <w:szCs w:val="21"/>
          <w:lang w:val="en-CA"/>
        </w:rPr>
      </w:pPr>
    </w:p>
    <w:p w:rsidR="008C2C19" w:rsidRPr="008C2C19" w:rsidRDefault="008C2C19" w:rsidP="008C2C19">
      <w:pPr>
        <w:jc w:val="both"/>
        <w:rPr>
          <w:rFonts w:ascii="Helvetica" w:hAnsi="Helvetica"/>
          <w:sz w:val="21"/>
          <w:szCs w:val="21"/>
          <w:lang w:val="en-CA"/>
        </w:rPr>
      </w:pPr>
      <w:r w:rsidRPr="008C2C19">
        <w:rPr>
          <w:rFonts w:ascii="Helvetica" w:hAnsi="Helvetica"/>
          <w:sz w:val="21"/>
          <w:szCs w:val="21"/>
          <w:lang w:val="en-CA"/>
        </w:rPr>
        <w:t xml:space="preserve">The focus of s. 15 is whether a law draws </w:t>
      </w:r>
      <w:r w:rsidRPr="008C2C19">
        <w:rPr>
          <w:rFonts w:ascii="Helvetica" w:hAnsi="Helvetica"/>
          <w:i/>
          <w:iCs/>
          <w:sz w:val="21"/>
          <w:szCs w:val="21"/>
          <w:lang w:val="en-CA"/>
        </w:rPr>
        <w:t>discriminatory</w:t>
      </w:r>
      <w:r w:rsidRPr="008C2C19">
        <w:rPr>
          <w:rFonts w:ascii="Helvetica" w:hAnsi="Helvetica"/>
          <w:sz w:val="21"/>
          <w:szCs w:val="21"/>
          <w:lang w:val="en-CA"/>
        </w:rPr>
        <w:t xml:space="preserve"> distinctions which have the effect of perpetuating arbitrary disadvantage based on an individual’s membership in an enumerated or analogous group.</w:t>
      </w:r>
      <w:r w:rsidRPr="008C2C19">
        <w:rPr>
          <w:rStyle w:val="FootnoteReference"/>
          <w:rFonts w:ascii="Helvetica" w:hAnsi="Helvetica"/>
          <w:sz w:val="21"/>
          <w:szCs w:val="21"/>
          <w:lang w:val="en-CA"/>
        </w:rPr>
        <w:footnoteReference w:id="2"/>
      </w:r>
      <w:r w:rsidRPr="008C2C19">
        <w:rPr>
          <w:rFonts w:ascii="Helvetica" w:hAnsi="Helvetica"/>
          <w:sz w:val="21"/>
          <w:szCs w:val="21"/>
          <w:lang w:val="en-CA"/>
        </w:rPr>
        <w:t xml:space="preserve"> This is analyzed in a two-part test.</w:t>
      </w:r>
    </w:p>
    <w:p w:rsidR="008C2C19" w:rsidRPr="008C2C19" w:rsidRDefault="008C2C19" w:rsidP="008C2C19">
      <w:pPr>
        <w:jc w:val="both"/>
        <w:rPr>
          <w:rFonts w:ascii="Helvetica" w:hAnsi="Helvetica"/>
          <w:sz w:val="21"/>
          <w:szCs w:val="21"/>
          <w:lang w:val="en-CA"/>
        </w:rPr>
      </w:pPr>
    </w:p>
    <w:p w:rsidR="008C2C19" w:rsidRPr="008C2C19" w:rsidRDefault="008C2C19" w:rsidP="008C2C19">
      <w:pPr>
        <w:jc w:val="both"/>
        <w:rPr>
          <w:rFonts w:ascii="Helvetica" w:hAnsi="Helvetica"/>
          <w:sz w:val="21"/>
          <w:szCs w:val="21"/>
          <w:lang w:val="en-CA"/>
        </w:rPr>
      </w:pPr>
      <w:r w:rsidRPr="008C2C19">
        <w:rPr>
          <w:rFonts w:ascii="Helvetica" w:hAnsi="Helvetica"/>
          <w:sz w:val="21"/>
          <w:szCs w:val="21"/>
          <w:lang w:val="en-CA"/>
        </w:rPr>
        <w:t>The first part of the test asks whether a law creates a distinction</w:t>
      </w:r>
      <w:r w:rsidRPr="008C2C19">
        <w:rPr>
          <w:rFonts w:ascii="Helvetica" w:hAnsi="Helvetica"/>
          <w:i/>
          <w:iCs/>
          <w:sz w:val="21"/>
          <w:szCs w:val="21"/>
          <w:lang w:val="en-CA"/>
        </w:rPr>
        <w:t xml:space="preserve"> </w:t>
      </w:r>
      <w:r w:rsidRPr="008C2C19">
        <w:rPr>
          <w:rFonts w:ascii="Helvetica" w:hAnsi="Helvetica"/>
          <w:sz w:val="21"/>
          <w:szCs w:val="21"/>
          <w:lang w:val="en-CA"/>
        </w:rPr>
        <w:t>on the basis of an enumerated or analogous ground.</w:t>
      </w:r>
      <w:r w:rsidRPr="008C2C19">
        <w:rPr>
          <w:rStyle w:val="FootnoteReference"/>
          <w:rFonts w:ascii="Helvetica" w:hAnsi="Helvetica"/>
          <w:sz w:val="21"/>
          <w:szCs w:val="21"/>
          <w:lang w:val="en-CA"/>
        </w:rPr>
        <w:footnoteReference w:id="3"/>
      </w:r>
      <w:r w:rsidRPr="008C2C19">
        <w:rPr>
          <w:rFonts w:ascii="Helvetica" w:hAnsi="Helvetica"/>
          <w:sz w:val="21"/>
          <w:szCs w:val="21"/>
          <w:lang w:val="en-CA"/>
        </w:rPr>
        <w:t xml:space="preserve"> The second part of the test examines whether the impugned law fails to respond to the actual capacities and needs of the members of the group and instead imposes burdens or denies a benefit in a manner that has the effect of reinforcing, perpetuating or exacerbating their disadvantage.</w:t>
      </w:r>
      <w:r w:rsidRPr="008C2C19">
        <w:rPr>
          <w:rStyle w:val="FootnoteReference"/>
          <w:rFonts w:ascii="Helvetica" w:hAnsi="Helvetica"/>
          <w:sz w:val="21"/>
          <w:szCs w:val="21"/>
          <w:lang w:val="en-CA"/>
        </w:rPr>
        <w:footnoteReference w:id="4"/>
      </w:r>
    </w:p>
    <w:p w:rsidR="008C2C19" w:rsidRPr="008C2C19" w:rsidRDefault="008C2C19" w:rsidP="008C2C19">
      <w:pPr>
        <w:jc w:val="both"/>
        <w:rPr>
          <w:rFonts w:ascii="Helvetica" w:hAnsi="Helvetica"/>
          <w:sz w:val="21"/>
          <w:szCs w:val="21"/>
          <w:lang w:val="en-CA"/>
        </w:rPr>
      </w:pPr>
    </w:p>
    <w:p w:rsidR="008C2C19" w:rsidRPr="008C2C19" w:rsidRDefault="008C2C19" w:rsidP="008C2C19">
      <w:pPr>
        <w:jc w:val="both"/>
        <w:rPr>
          <w:rFonts w:ascii="Helvetica" w:hAnsi="Helvetica"/>
          <w:sz w:val="21"/>
          <w:szCs w:val="21"/>
          <w:lang w:val="en-CA"/>
        </w:rPr>
      </w:pPr>
      <w:r w:rsidRPr="008C2C19">
        <w:rPr>
          <w:rFonts w:ascii="Helvetica" w:hAnsi="Helvetica"/>
          <w:sz w:val="21"/>
          <w:szCs w:val="21"/>
          <w:lang w:val="en-CA"/>
        </w:rPr>
        <w:t xml:space="preserve">To establish a </w:t>
      </w:r>
      <w:r w:rsidRPr="008C2C19">
        <w:rPr>
          <w:rFonts w:ascii="Helvetica" w:hAnsi="Helvetica"/>
          <w:i/>
          <w:iCs/>
          <w:sz w:val="21"/>
          <w:szCs w:val="21"/>
          <w:lang w:val="en-CA"/>
        </w:rPr>
        <w:t>prima facie</w:t>
      </w:r>
      <w:r w:rsidRPr="008C2C19">
        <w:rPr>
          <w:rFonts w:ascii="Helvetica" w:hAnsi="Helvetica"/>
          <w:sz w:val="21"/>
          <w:szCs w:val="21"/>
          <w:lang w:val="en-CA"/>
        </w:rPr>
        <w:t xml:space="preserve"> violation of s. 15(1), the claimant must demonstrate that the law at issue has a disproportionate effect on the claimant based on his or her membership in an enumerated or analogous group.</w:t>
      </w:r>
      <w:r w:rsidRPr="008C2C19">
        <w:rPr>
          <w:rStyle w:val="FootnoteReference"/>
          <w:rFonts w:ascii="Helvetica" w:hAnsi="Helvetica"/>
          <w:sz w:val="21"/>
          <w:szCs w:val="21"/>
          <w:lang w:val="en-CA"/>
        </w:rPr>
        <w:footnoteReference w:id="5"/>
      </w:r>
      <w:r w:rsidRPr="008C2C19">
        <w:rPr>
          <w:rFonts w:ascii="Helvetica" w:hAnsi="Helvetica"/>
          <w:sz w:val="21"/>
          <w:szCs w:val="21"/>
          <w:lang w:val="en-CA"/>
        </w:rPr>
        <w:t xml:space="preserve"> </w:t>
      </w:r>
    </w:p>
    <w:p w:rsidR="008C2C19" w:rsidRPr="008C2C19" w:rsidRDefault="008C2C19" w:rsidP="008C2C19">
      <w:pPr>
        <w:jc w:val="both"/>
        <w:rPr>
          <w:rFonts w:ascii="Helvetica" w:hAnsi="Helvetica"/>
          <w:sz w:val="21"/>
          <w:szCs w:val="21"/>
          <w:lang w:val="en-CA"/>
        </w:rPr>
      </w:pPr>
    </w:p>
    <w:p w:rsidR="008C2C19" w:rsidRPr="008C2C19" w:rsidRDefault="008C2C19" w:rsidP="008C2C19">
      <w:pPr>
        <w:jc w:val="both"/>
        <w:rPr>
          <w:rFonts w:ascii="Helvetica" w:hAnsi="Helvetica"/>
          <w:sz w:val="21"/>
          <w:szCs w:val="21"/>
        </w:rPr>
      </w:pPr>
      <w:r w:rsidRPr="008C2C19">
        <w:rPr>
          <w:rFonts w:ascii="Helvetica" w:hAnsi="Helvetica"/>
          <w:sz w:val="21"/>
          <w:szCs w:val="21"/>
          <w:lang w:val="en-CA"/>
        </w:rPr>
        <w:t xml:space="preserve">The </w:t>
      </w:r>
      <w:proofErr w:type="spellStart"/>
      <w:r w:rsidRPr="008C2C19">
        <w:rPr>
          <w:rFonts w:ascii="Helvetica" w:hAnsi="Helvetica"/>
          <w:sz w:val="21"/>
          <w:szCs w:val="21"/>
          <w:lang w:val="en-CA"/>
        </w:rPr>
        <w:t>SCC</w:t>
      </w:r>
      <w:proofErr w:type="spellEnd"/>
      <w:r w:rsidRPr="008C2C19">
        <w:rPr>
          <w:rFonts w:ascii="Helvetica" w:hAnsi="Helvetica"/>
          <w:sz w:val="21"/>
          <w:szCs w:val="21"/>
          <w:lang w:val="en-CA"/>
        </w:rPr>
        <w:t xml:space="preserve"> noted that </w:t>
      </w:r>
      <w:r w:rsidRPr="008C2C19">
        <w:rPr>
          <w:rFonts w:ascii="Helvetica" w:hAnsi="Helvetica"/>
          <w:sz w:val="21"/>
          <w:szCs w:val="21"/>
        </w:rPr>
        <w:t>educational requirements “that are unrelated to measuring job capability can operate as “built-in headwinds” for minority groups” have been found to be discriminatory.</w:t>
      </w:r>
      <w:r w:rsidRPr="008C2C19">
        <w:rPr>
          <w:rStyle w:val="FootnoteReference"/>
          <w:rFonts w:ascii="Helvetica" w:hAnsi="Helvetica"/>
          <w:sz w:val="21"/>
          <w:szCs w:val="21"/>
        </w:rPr>
        <w:footnoteReference w:id="6"/>
      </w:r>
      <w:r w:rsidRPr="008C2C19">
        <w:rPr>
          <w:rFonts w:ascii="Helvetica" w:hAnsi="Helvetica"/>
          <w:sz w:val="21"/>
          <w:szCs w:val="21"/>
          <w:lang w:val="en-CA"/>
        </w:rPr>
        <w:t xml:space="preserve"> </w:t>
      </w:r>
      <w:r w:rsidRPr="008C2C19">
        <w:rPr>
          <w:rFonts w:ascii="Helvetica" w:hAnsi="Helvetica"/>
          <w:sz w:val="21"/>
          <w:szCs w:val="21"/>
        </w:rPr>
        <w:t xml:space="preserve">Likewise, residence </w:t>
      </w:r>
      <w:r w:rsidRPr="008C2C19">
        <w:rPr>
          <w:rFonts w:ascii="Helvetica" w:hAnsi="Helvetica"/>
          <w:i/>
          <w:sz w:val="21"/>
          <w:szCs w:val="21"/>
        </w:rPr>
        <w:t>off-reserve</w:t>
      </w:r>
      <w:r w:rsidRPr="008C2C19">
        <w:rPr>
          <w:rFonts w:ascii="Helvetica" w:hAnsi="Helvetica"/>
          <w:sz w:val="21"/>
          <w:szCs w:val="21"/>
        </w:rPr>
        <w:t xml:space="preserve"> has been recognized as an analogous ground of discrimination under </w:t>
      </w:r>
      <w:proofErr w:type="gramStart"/>
      <w:r w:rsidRPr="008C2C19">
        <w:rPr>
          <w:rFonts w:ascii="Helvetica" w:hAnsi="Helvetica"/>
          <w:sz w:val="21"/>
          <w:szCs w:val="21"/>
        </w:rPr>
        <w:t>s.15(</w:t>
      </w:r>
      <w:proofErr w:type="gramEnd"/>
      <w:r w:rsidRPr="008C2C19">
        <w:rPr>
          <w:rFonts w:ascii="Helvetica" w:hAnsi="Helvetica"/>
          <w:sz w:val="21"/>
          <w:szCs w:val="21"/>
        </w:rPr>
        <w:t>1).</w:t>
      </w:r>
      <w:r w:rsidRPr="008C2C19">
        <w:rPr>
          <w:rStyle w:val="FootnoteReference"/>
          <w:rFonts w:ascii="Helvetica" w:hAnsi="Helvetica"/>
          <w:sz w:val="21"/>
          <w:szCs w:val="21"/>
        </w:rPr>
        <w:footnoteReference w:id="7"/>
      </w:r>
    </w:p>
    <w:p w:rsidR="008C2C19" w:rsidRPr="008C2C19" w:rsidRDefault="008C2C19" w:rsidP="008C2C19">
      <w:pPr>
        <w:jc w:val="both"/>
        <w:rPr>
          <w:rFonts w:ascii="Helvetica" w:hAnsi="Helvetica"/>
          <w:sz w:val="21"/>
          <w:szCs w:val="21"/>
        </w:rPr>
      </w:pPr>
    </w:p>
    <w:p w:rsidR="008C2C19" w:rsidRPr="008C2C19" w:rsidRDefault="008C2C19" w:rsidP="008C2C19">
      <w:pPr>
        <w:jc w:val="both"/>
        <w:rPr>
          <w:rFonts w:ascii="Helvetica" w:hAnsi="Helvetica"/>
          <w:sz w:val="21"/>
          <w:szCs w:val="21"/>
        </w:rPr>
      </w:pPr>
      <w:r w:rsidRPr="008C2C19">
        <w:rPr>
          <w:rFonts w:ascii="Helvetica" w:hAnsi="Helvetica"/>
          <w:sz w:val="21"/>
          <w:szCs w:val="21"/>
        </w:rPr>
        <w:t xml:space="preserve">The </w:t>
      </w:r>
      <w:proofErr w:type="spellStart"/>
      <w:r w:rsidRPr="008C2C19">
        <w:rPr>
          <w:rFonts w:ascii="Helvetica" w:hAnsi="Helvetica"/>
          <w:sz w:val="21"/>
          <w:szCs w:val="21"/>
        </w:rPr>
        <w:t>SCC</w:t>
      </w:r>
      <w:proofErr w:type="spellEnd"/>
      <w:r w:rsidRPr="008C2C19">
        <w:rPr>
          <w:rFonts w:ascii="Helvetica" w:hAnsi="Helvetica"/>
          <w:sz w:val="21"/>
          <w:szCs w:val="21"/>
        </w:rPr>
        <w:t xml:space="preserve"> held that in this case, however, the claimant presented virtually no evidence about the relationship between age, residency on a reserve, and education levels in the </w:t>
      </w:r>
      <w:proofErr w:type="spellStart"/>
      <w:r w:rsidRPr="008C2C19">
        <w:rPr>
          <w:rFonts w:ascii="Helvetica" w:hAnsi="Helvetica"/>
          <w:sz w:val="21"/>
          <w:szCs w:val="21"/>
        </w:rPr>
        <w:t>Kahkewistahaw</w:t>
      </w:r>
      <w:proofErr w:type="spellEnd"/>
      <w:r w:rsidRPr="008C2C19">
        <w:rPr>
          <w:rFonts w:ascii="Helvetica" w:hAnsi="Helvetica"/>
          <w:sz w:val="21"/>
          <w:szCs w:val="21"/>
        </w:rPr>
        <w:t xml:space="preserve"> First Nation, nor was “there any evidence about the effect of the education provisions on older community members, on community members who live on a reserve, or on individuals who belong to both of these groups.”</w:t>
      </w:r>
      <w:r w:rsidRPr="008C2C19">
        <w:rPr>
          <w:rStyle w:val="FootnoteReference"/>
          <w:rFonts w:ascii="Helvetica" w:hAnsi="Helvetica"/>
          <w:sz w:val="21"/>
          <w:szCs w:val="21"/>
        </w:rPr>
        <w:footnoteReference w:id="8"/>
      </w:r>
    </w:p>
    <w:p w:rsidR="008C2C19" w:rsidRPr="008C2C19" w:rsidRDefault="008C2C19" w:rsidP="008C2C19">
      <w:pPr>
        <w:jc w:val="both"/>
        <w:rPr>
          <w:rFonts w:ascii="Helvetica" w:hAnsi="Helvetica"/>
          <w:sz w:val="21"/>
          <w:szCs w:val="21"/>
        </w:rPr>
      </w:pPr>
    </w:p>
    <w:p w:rsidR="008C2C19" w:rsidRPr="008C2C19" w:rsidRDefault="008C2C19" w:rsidP="008C2C19">
      <w:pPr>
        <w:jc w:val="both"/>
        <w:rPr>
          <w:rFonts w:ascii="Helvetica" w:hAnsi="Helvetica"/>
          <w:sz w:val="21"/>
          <w:szCs w:val="21"/>
        </w:rPr>
      </w:pPr>
      <w:r w:rsidRPr="008C2C19">
        <w:rPr>
          <w:rFonts w:ascii="Helvetica" w:hAnsi="Helvetica"/>
          <w:sz w:val="21"/>
          <w:szCs w:val="21"/>
        </w:rPr>
        <w:t xml:space="preserve">Given the lack of evidence, the </w:t>
      </w:r>
      <w:proofErr w:type="spellStart"/>
      <w:r w:rsidRPr="008C2C19">
        <w:rPr>
          <w:rFonts w:ascii="Helvetica" w:hAnsi="Helvetica"/>
          <w:sz w:val="21"/>
          <w:szCs w:val="21"/>
        </w:rPr>
        <w:t>SCC</w:t>
      </w:r>
      <w:proofErr w:type="spellEnd"/>
      <w:r w:rsidRPr="008C2C19">
        <w:rPr>
          <w:rFonts w:ascii="Helvetica" w:hAnsi="Helvetica"/>
          <w:sz w:val="21"/>
          <w:szCs w:val="21"/>
        </w:rPr>
        <w:t xml:space="preserve"> held that Mr. </w:t>
      </w:r>
      <w:proofErr w:type="spellStart"/>
      <w:r w:rsidRPr="008C2C19">
        <w:rPr>
          <w:rFonts w:ascii="Helvetica" w:hAnsi="Helvetica"/>
          <w:sz w:val="21"/>
          <w:szCs w:val="21"/>
        </w:rPr>
        <w:t>Taypotat</w:t>
      </w:r>
      <w:proofErr w:type="spellEnd"/>
      <w:r w:rsidRPr="008C2C19">
        <w:rPr>
          <w:rFonts w:ascii="Helvetica" w:hAnsi="Helvetica"/>
          <w:sz w:val="21"/>
          <w:szCs w:val="21"/>
        </w:rPr>
        <w:t xml:space="preserve"> failed to establish a </w:t>
      </w:r>
      <w:r w:rsidRPr="008C2C19">
        <w:rPr>
          <w:rFonts w:ascii="Helvetica" w:hAnsi="Helvetica"/>
          <w:i/>
          <w:sz w:val="21"/>
          <w:szCs w:val="21"/>
        </w:rPr>
        <w:t>prima facie</w:t>
      </w:r>
      <w:r w:rsidRPr="008C2C19">
        <w:rPr>
          <w:rFonts w:ascii="Helvetica" w:hAnsi="Helvetica"/>
          <w:sz w:val="21"/>
          <w:szCs w:val="21"/>
        </w:rPr>
        <w:t xml:space="preserve"> case that the Grade 12 educational requirements in </w:t>
      </w:r>
      <w:proofErr w:type="spellStart"/>
      <w:r w:rsidRPr="008C2C19">
        <w:rPr>
          <w:rFonts w:ascii="Helvetica" w:hAnsi="Helvetica"/>
          <w:sz w:val="21"/>
          <w:szCs w:val="21"/>
        </w:rPr>
        <w:t>Kahkewistahaw</w:t>
      </w:r>
      <w:proofErr w:type="spellEnd"/>
      <w:r w:rsidRPr="008C2C19">
        <w:rPr>
          <w:rFonts w:ascii="Helvetica" w:hAnsi="Helvetica"/>
          <w:sz w:val="21"/>
          <w:szCs w:val="21"/>
        </w:rPr>
        <w:t xml:space="preserve"> First Nation’s Election Code breached </w:t>
      </w:r>
      <w:proofErr w:type="gramStart"/>
      <w:r w:rsidRPr="008C2C19">
        <w:rPr>
          <w:rFonts w:ascii="Helvetica" w:hAnsi="Helvetica"/>
          <w:sz w:val="21"/>
          <w:szCs w:val="21"/>
        </w:rPr>
        <w:t>s.15(</w:t>
      </w:r>
      <w:proofErr w:type="gramEnd"/>
      <w:r w:rsidRPr="008C2C19">
        <w:rPr>
          <w:rFonts w:ascii="Helvetica" w:hAnsi="Helvetica"/>
          <w:sz w:val="21"/>
          <w:szCs w:val="21"/>
        </w:rPr>
        <w:t xml:space="preserve">1) of the Charter. As a result, </w:t>
      </w:r>
      <w:proofErr w:type="spellStart"/>
      <w:r w:rsidRPr="008C2C19">
        <w:rPr>
          <w:rFonts w:ascii="Helvetica" w:hAnsi="Helvetica"/>
          <w:sz w:val="21"/>
          <w:szCs w:val="21"/>
        </w:rPr>
        <w:t>Kahkewistahaw</w:t>
      </w:r>
      <w:proofErr w:type="spellEnd"/>
      <w:r w:rsidRPr="008C2C19">
        <w:rPr>
          <w:rFonts w:ascii="Helvetica" w:hAnsi="Helvetica"/>
          <w:sz w:val="21"/>
          <w:szCs w:val="21"/>
        </w:rPr>
        <w:t xml:space="preserve"> First Nation did not have to go through the exercise of justifying the educational requirements found in the Election Code. </w:t>
      </w:r>
    </w:p>
    <w:p w:rsidR="00CF3BBD" w:rsidRPr="008C2C19" w:rsidRDefault="008C2C19">
      <w:pPr>
        <w:rPr>
          <w:rFonts w:ascii="Helvetica" w:hAnsi="Helvetica"/>
          <w:sz w:val="21"/>
          <w:szCs w:val="21"/>
        </w:rPr>
      </w:pPr>
    </w:p>
    <w:sectPr w:rsidR="00CF3BBD" w:rsidRPr="008C2C19" w:rsidSect="00F3437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19" w:rsidRDefault="008C2C19" w:rsidP="008C2C19">
      <w:r>
        <w:separator/>
      </w:r>
    </w:p>
  </w:endnote>
  <w:endnote w:type="continuationSeparator" w:id="0">
    <w:p w:rsidR="008C2C19" w:rsidRDefault="008C2C19" w:rsidP="008C2C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19" w:rsidRDefault="008C2C19" w:rsidP="008C2C19">
      <w:r>
        <w:separator/>
      </w:r>
    </w:p>
  </w:footnote>
  <w:footnote w:type="continuationSeparator" w:id="0">
    <w:p w:rsidR="008C2C19" w:rsidRDefault="008C2C19" w:rsidP="008C2C19">
      <w:r>
        <w:continuationSeparator/>
      </w:r>
    </w:p>
  </w:footnote>
  <w:footnote w:id="1">
    <w:p w:rsidR="008C2C19" w:rsidRPr="008C2C19" w:rsidRDefault="008C2C19" w:rsidP="008C2C19">
      <w:pPr>
        <w:pStyle w:val="FootnoteText"/>
        <w:rPr>
          <w:rFonts w:asciiTheme="majorHAnsi" w:hAnsiTheme="majorHAnsi"/>
          <w:sz w:val="16"/>
          <w:szCs w:val="16"/>
          <w:lang w:val="en-CA"/>
        </w:rPr>
      </w:pPr>
      <w:r w:rsidRPr="008C2C19">
        <w:rPr>
          <w:rStyle w:val="FootnoteReference"/>
          <w:rFonts w:asciiTheme="majorHAnsi" w:hAnsiTheme="majorHAnsi"/>
          <w:sz w:val="16"/>
          <w:szCs w:val="16"/>
        </w:rPr>
        <w:footnoteRef/>
      </w:r>
      <w:r w:rsidRPr="008C2C19">
        <w:rPr>
          <w:rFonts w:asciiTheme="majorHAnsi" w:hAnsiTheme="majorHAnsi"/>
          <w:sz w:val="16"/>
          <w:szCs w:val="16"/>
        </w:rPr>
        <w:t xml:space="preserve"> </w:t>
      </w:r>
      <w:proofErr w:type="spellStart"/>
      <w:proofErr w:type="gramStart"/>
      <w:r w:rsidRPr="008C2C19">
        <w:rPr>
          <w:rFonts w:asciiTheme="majorHAnsi" w:hAnsiTheme="majorHAnsi"/>
          <w:sz w:val="16"/>
          <w:szCs w:val="16"/>
          <w:lang w:val="en-CA"/>
        </w:rPr>
        <w:t>KFN</w:t>
      </w:r>
      <w:proofErr w:type="spellEnd"/>
      <w:r w:rsidRPr="008C2C19">
        <w:rPr>
          <w:rFonts w:asciiTheme="majorHAnsi" w:hAnsiTheme="majorHAnsi"/>
          <w:sz w:val="16"/>
          <w:szCs w:val="16"/>
          <w:lang w:val="en-CA"/>
        </w:rPr>
        <w:t xml:space="preserve">, at </w:t>
      </w:r>
      <w:proofErr w:type="spellStart"/>
      <w:r w:rsidRPr="008C2C19">
        <w:rPr>
          <w:rFonts w:asciiTheme="majorHAnsi" w:hAnsiTheme="majorHAnsi"/>
          <w:sz w:val="16"/>
          <w:szCs w:val="16"/>
          <w:lang w:val="en-CA"/>
        </w:rPr>
        <w:t>para</w:t>
      </w:r>
      <w:proofErr w:type="spellEnd"/>
      <w:r w:rsidRPr="008C2C19">
        <w:rPr>
          <w:rFonts w:asciiTheme="majorHAnsi" w:hAnsiTheme="majorHAnsi"/>
          <w:sz w:val="16"/>
          <w:szCs w:val="16"/>
          <w:lang w:val="en-CA"/>
        </w:rPr>
        <w:t xml:space="preserve"> 14.</w:t>
      </w:r>
      <w:proofErr w:type="gramEnd"/>
      <w:r w:rsidRPr="008C2C19">
        <w:rPr>
          <w:rFonts w:asciiTheme="majorHAnsi" w:hAnsiTheme="majorHAnsi"/>
          <w:sz w:val="16"/>
          <w:szCs w:val="16"/>
          <w:lang w:val="en-CA"/>
        </w:rPr>
        <w:t xml:space="preserve"> This argument, formulated by the </w:t>
      </w:r>
      <w:proofErr w:type="spellStart"/>
      <w:r w:rsidRPr="008C2C19">
        <w:rPr>
          <w:rFonts w:asciiTheme="majorHAnsi" w:hAnsiTheme="majorHAnsi"/>
          <w:sz w:val="16"/>
          <w:szCs w:val="16"/>
          <w:lang w:val="en-CA"/>
        </w:rPr>
        <w:t>FCA</w:t>
      </w:r>
      <w:proofErr w:type="spellEnd"/>
      <w:r w:rsidRPr="008C2C19">
        <w:rPr>
          <w:rFonts w:asciiTheme="majorHAnsi" w:hAnsiTheme="majorHAnsi"/>
          <w:sz w:val="16"/>
          <w:szCs w:val="16"/>
          <w:lang w:val="en-CA"/>
        </w:rPr>
        <w:t xml:space="preserve">, and put forward by Mr. </w:t>
      </w:r>
      <w:proofErr w:type="spellStart"/>
      <w:r w:rsidRPr="008C2C19">
        <w:rPr>
          <w:rFonts w:asciiTheme="majorHAnsi" w:hAnsiTheme="majorHAnsi"/>
          <w:sz w:val="16"/>
          <w:szCs w:val="16"/>
        </w:rPr>
        <w:t>Taypotat</w:t>
      </w:r>
      <w:proofErr w:type="spellEnd"/>
      <w:r w:rsidRPr="008C2C19">
        <w:rPr>
          <w:rFonts w:asciiTheme="majorHAnsi" w:hAnsiTheme="majorHAnsi"/>
          <w:sz w:val="16"/>
          <w:szCs w:val="16"/>
        </w:rPr>
        <w:t xml:space="preserve"> before the </w:t>
      </w:r>
      <w:proofErr w:type="spellStart"/>
      <w:r w:rsidRPr="008C2C19">
        <w:rPr>
          <w:rFonts w:asciiTheme="majorHAnsi" w:hAnsiTheme="majorHAnsi"/>
          <w:sz w:val="16"/>
          <w:szCs w:val="16"/>
        </w:rPr>
        <w:t>SCC</w:t>
      </w:r>
      <w:proofErr w:type="spellEnd"/>
      <w:r w:rsidRPr="008C2C19">
        <w:rPr>
          <w:rFonts w:asciiTheme="majorHAnsi" w:hAnsiTheme="majorHAnsi"/>
          <w:sz w:val="16"/>
          <w:szCs w:val="16"/>
          <w:lang w:val="en-CA"/>
        </w:rPr>
        <w:t xml:space="preserve"> was not raised in the initial judicial review. </w:t>
      </w:r>
    </w:p>
  </w:footnote>
  <w:footnote w:id="2">
    <w:p w:rsidR="008C2C19" w:rsidRPr="008C2C19" w:rsidRDefault="008C2C19" w:rsidP="008C2C19">
      <w:pPr>
        <w:pStyle w:val="FootnoteText"/>
        <w:rPr>
          <w:rFonts w:asciiTheme="majorHAnsi" w:hAnsiTheme="majorHAnsi"/>
          <w:sz w:val="16"/>
          <w:szCs w:val="16"/>
          <w:lang w:val="en-CA"/>
        </w:rPr>
      </w:pPr>
      <w:r w:rsidRPr="008C2C19">
        <w:rPr>
          <w:rStyle w:val="FootnoteReference"/>
          <w:rFonts w:asciiTheme="majorHAnsi" w:hAnsiTheme="majorHAnsi"/>
          <w:sz w:val="16"/>
          <w:szCs w:val="16"/>
        </w:rPr>
        <w:footnoteRef/>
      </w:r>
      <w:r w:rsidRPr="008C2C19">
        <w:rPr>
          <w:rFonts w:asciiTheme="majorHAnsi" w:hAnsiTheme="majorHAnsi"/>
          <w:sz w:val="16"/>
          <w:szCs w:val="16"/>
        </w:rPr>
        <w:t xml:space="preserve"> </w:t>
      </w:r>
      <w:proofErr w:type="spellStart"/>
      <w:proofErr w:type="gramStart"/>
      <w:r w:rsidRPr="008C2C19">
        <w:rPr>
          <w:rFonts w:asciiTheme="majorHAnsi" w:hAnsiTheme="majorHAnsi"/>
          <w:sz w:val="16"/>
          <w:szCs w:val="16"/>
          <w:lang w:val="en-CA"/>
        </w:rPr>
        <w:t>KFN</w:t>
      </w:r>
      <w:proofErr w:type="spellEnd"/>
      <w:r w:rsidRPr="008C2C19">
        <w:rPr>
          <w:rFonts w:asciiTheme="majorHAnsi" w:hAnsiTheme="majorHAnsi"/>
          <w:sz w:val="16"/>
          <w:szCs w:val="16"/>
          <w:lang w:val="en-CA"/>
        </w:rPr>
        <w:t xml:space="preserve">, at </w:t>
      </w:r>
      <w:proofErr w:type="spellStart"/>
      <w:r w:rsidRPr="008C2C19">
        <w:rPr>
          <w:rFonts w:asciiTheme="majorHAnsi" w:hAnsiTheme="majorHAnsi"/>
          <w:sz w:val="16"/>
          <w:szCs w:val="16"/>
          <w:lang w:val="en-CA"/>
        </w:rPr>
        <w:t>para</w:t>
      </w:r>
      <w:proofErr w:type="spellEnd"/>
      <w:r w:rsidRPr="008C2C19">
        <w:rPr>
          <w:rFonts w:asciiTheme="majorHAnsi" w:hAnsiTheme="majorHAnsi"/>
          <w:sz w:val="16"/>
          <w:szCs w:val="16"/>
          <w:lang w:val="en-CA"/>
        </w:rPr>
        <w:t xml:space="preserve"> 18.</w:t>
      </w:r>
      <w:proofErr w:type="gramEnd"/>
    </w:p>
  </w:footnote>
  <w:footnote w:id="3">
    <w:p w:rsidR="008C2C19" w:rsidRPr="008C2C19" w:rsidRDefault="008C2C19" w:rsidP="008C2C19">
      <w:pPr>
        <w:pStyle w:val="FootnoteText"/>
        <w:rPr>
          <w:rFonts w:asciiTheme="majorHAnsi" w:hAnsiTheme="majorHAnsi"/>
          <w:sz w:val="16"/>
          <w:szCs w:val="16"/>
          <w:lang w:val="en-CA"/>
        </w:rPr>
      </w:pPr>
      <w:r w:rsidRPr="008C2C19">
        <w:rPr>
          <w:rStyle w:val="FootnoteReference"/>
          <w:rFonts w:asciiTheme="majorHAnsi" w:hAnsiTheme="majorHAnsi"/>
          <w:sz w:val="16"/>
          <w:szCs w:val="16"/>
        </w:rPr>
        <w:footnoteRef/>
      </w:r>
      <w:r w:rsidRPr="008C2C19">
        <w:rPr>
          <w:rFonts w:asciiTheme="majorHAnsi" w:hAnsiTheme="majorHAnsi"/>
          <w:sz w:val="16"/>
          <w:szCs w:val="16"/>
        </w:rPr>
        <w:t xml:space="preserve"> </w:t>
      </w:r>
      <w:proofErr w:type="spellStart"/>
      <w:proofErr w:type="gramStart"/>
      <w:r w:rsidRPr="008C2C19">
        <w:rPr>
          <w:rFonts w:asciiTheme="majorHAnsi" w:hAnsiTheme="majorHAnsi"/>
          <w:sz w:val="16"/>
          <w:szCs w:val="16"/>
          <w:lang w:val="en-CA"/>
        </w:rPr>
        <w:t>KFN</w:t>
      </w:r>
      <w:proofErr w:type="spellEnd"/>
      <w:r w:rsidRPr="008C2C19">
        <w:rPr>
          <w:rFonts w:asciiTheme="majorHAnsi" w:hAnsiTheme="majorHAnsi"/>
          <w:sz w:val="16"/>
          <w:szCs w:val="16"/>
          <w:lang w:val="en-CA"/>
        </w:rPr>
        <w:t xml:space="preserve">, at </w:t>
      </w:r>
      <w:proofErr w:type="spellStart"/>
      <w:r w:rsidRPr="008C2C19">
        <w:rPr>
          <w:rFonts w:asciiTheme="majorHAnsi" w:hAnsiTheme="majorHAnsi"/>
          <w:sz w:val="16"/>
          <w:szCs w:val="16"/>
          <w:lang w:val="en-CA"/>
        </w:rPr>
        <w:t>para</w:t>
      </w:r>
      <w:proofErr w:type="spellEnd"/>
      <w:r w:rsidRPr="008C2C19">
        <w:rPr>
          <w:rFonts w:asciiTheme="majorHAnsi" w:hAnsiTheme="majorHAnsi"/>
          <w:sz w:val="16"/>
          <w:szCs w:val="16"/>
          <w:lang w:val="en-CA"/>
        </w:rPr>
        <w:t xml:space="preserve"> 19.</w:t>
      </w:r>
      <w:proofErr w:type="gramEnd"/>
      <w:r w:rsidRPr="008C2C19">
        <w:rPr>
          <w:rFonts w:asciiTheme="majorHAnsi" w:hAnsiTheme="majorHAnsi"/>
          <w:sz w:val="16"/>
          <w:szCs w:val="16"/>
          <w:lang w:val="en-CA"/>
        </w:rPr>
        <w:t xml:space="preserve"> </w:t>
      </w:r>
    </w:p>
  </w:footnote>
  <w:footnote w:id="4">
    <w:p w:rsidR="008C2C19" w:rsidRPr="00DA4E84" w:rsidRDefault="008C2C19" w:rsidP="008C2C19">
      <w:pPr>
        <w:pStyle w:val="FootnoteText"/>
        <w:rPr>
          <w:rFonts w:asciiTheme="majorHAnsi" w:hAnsiTheme="majorHAnsi"/>
          <w:lang w:val="en-CA"/>
        </w:rPr>
      </w:pPr>
      <w:r w:rsidRPr="008C2C19">
        <w:rPr>
          <w:rStyle w:val="FootnoteReference"/>
          <w:rFonts w:asciiTheme="majorHAnsi" w:hAnsiTheme="majorHAnsi"/>
          <w:sz w:val="16"/>
          <w:szCs w:val="16"/>
        </w:rPr>
        <w:footnoteRef/>
      </w:r>
      <w:r w:rsidRPr="008C2C19">
        <w:rPr>
          <w:rFonts w:asciiTheme="majorHAnsi" w:hAnsiTheme="majorHAnsi"/>
          <w:sz w:val="16"/>
          <w:szCs w:val="16"/>
        </w:rPr>
        <w:t xml:space="preserve"> </w:t>
      </w:r>
      <w:proofErr w:type="spellStart"/>
      <w:proofErr w:type="gramStart"/>
      <w:r w:rsidRPr="008C2C19">
        <w:rPr>
          <w:rFonts w:asciiTheme="majorHAnsi" w:hAnsiTheme="majorHAnsi"/>
          <w:sz w:val="16"/>
          <w:szCs w:val="16"/>
          <w:lang w:val="en-CA"/>
        </w:rPr>
        <w:t>KFN</w:t>
      </w:r>
      <w:proofErr w:type="spellEnd"/>
      <w:r w:rsidRPr="008C2C19">
        <w:rPr>
          <w:rFonts w:asciiTheme="majorHAnsi" w:hAnsiTheme="majorHAnsi"/>
          <w:sz w:val="16"/>
          <w:szCs w:val="16"/>
          <w:lang w:val="en-CA"/>
        </w:rPr>
        <w:t xml:space="preserve">, at </w:t>
      </w:r>
      <w:proofErr w:type="spellStart"/>
      <w:r w:rsidRPr="008C2C19">
        <w:rPr>
          <w:rFonts w:asciiTheme="majorHAnsi" w:hAnsiTheme="majorHAnsi"/>
          <w:sz w:val="16"/>
          <w:szCs w:val="16"/>
          <w:lang w:val="en-CA"/>
        </w:rPr>
        <w:t>para</w:t>
      </w:r>
      <w:proofErr w:type="spellEnd"/>
      <w:r w:rsidRPr="008C2C19">
        <w:rPr>
          <w:rFonts w:asciiTheme="majorHAnsi" w:hAnsiTheme="majorHAnsi"/>
          <w:sz w:val="16"/>
          <w:szCs w:val="16"/>
          <w:lang w:val="en-CA"/>
        </w:rPr>
        <w:t xml:space="preserve"> 20.</w:t>
      </w:r>
      <w:proofErr w:type="gramEnd"/>
    </w:p>
  </w:footnote>
  <w:footnote w:id="5">
    <w:p w:rsidR="008C2C19" w:rsidRPr="008C2C19" w:rsidRDefault="008C2C19" w:rsidP="008C2C19">
      <w:pPr>
        <w:pStyle w:val="FootnoteText"/>
        <w:rPr>
          <w:rFonts w:asciiTheme="majorHAnsi" w:hAnsiTheme="majorHAnsi"/>
          <w:sz w:val="16"/>
          <w:szCs w:val="16"/>
          <w:lang w:val="en-CA"/>
        </w:rPr>
      </w:pPr>
      <w:r w:rsidRPr="008C2C19">
        <w:rPr>
          <w:rStyle w:val="FootnoteReference"/>
          <w:rFonts w:asciiTheme="majorHAnsi" w:hAnsiTheme="majorHAnsi"/>
          <w:sz w:val="16"/>
          <w:szCs w:val="16"/>
        </w:rPr>
        <w:footnoteRef/>
      </w:r>
      <w:r w:rsidRPr="008C2C19">
        <w:rPr>
          <w:rFonts w:asciiTheme="majorHAnsi" w:hAnsiTheme="majorHAnsi"/>
          <w:sz w:val="16"/>
          <w:szCs w:val="16"/>
        </w:rPr>
        <w:t xml:space="preserve"> </w:t>
      </w:r>
      <w:proofErr w:type="spellStart"/>
      <w:proofErr w:type="gramStart"/>
      <w:r w:rsidRPr="008C2C19">
        <w:rPr>
          <w:rFonts w:asciiTheme="majorHAnsi" w:hAnsiTheme="majorHAnsi"/>
          <w:sz w:val="16"/>
          <w:szCs w:val="16"/>
          <w:lang w:val="en-CA"/>
        </w:rPr>
        <w:t>KFN</w:t>
      </w:r>
      <w:proofErr w:type="spellEnd"/>
      <w:r w:rsidRPr="008C2C19">
        <w:rPr>
          <w:rFonts w:asciiTheme="majorHAnsi" w:hAnsiTheme="majorHAnsi"/>
          <w:sz w:val="16"/>
          <w:szCs w:val="16"/>
          <w:lang w:val="en-CA"/>
        </w:rPr>
        <w:t xml:space="preserve">, at </w:t>
      </w:r>
      <w:proofErr w:type="spellStart"/>
      <w:r w:rsidRPr="008C2C19">
        <w:rPr>
          <w:rFonts w:asciiTheme="majorHAnsi" w:hAnsiTheme="majorHAnsi"/>
          <w:sz w:val="16"/>
          <w:szCs w:val="16"/>
          <w:lang w:val="en-CA"/>
        </w:rPr>
        <w:t>para</w:t>
      </w:r>
      <w:proofErr w:type="spellEnd"/>
      <w:r w:rsidRPr="008C2C19">
        <w:rPr>
          <w:rFonts w:asciiTheme="majorHAnsi" w:hAnsiTheme="majorHAnsi"/>
          <w:sz w:val="16"/>
          <w:szCs w:val="16"/>
          <w:lang w:val="en-CA"/>
        </w:rPr>
        <w:t xml:space="preserve"> 21.</w:t>
      </w:r>
      <w:proofErr w:type="gramEnd"/>
    </w:p>
  </w:footnote>
  <w:footnote w:id="6">
    <w:p w:rsidR="008C2C19" w:rsidRPr="008C2C19" w:rsidRDefault="008C2C19" w:rsidP="008C2C19">
      <w:pPr>
        <w:pStyle w:val="FootnoteText"/>
        <w:rPr>
          <w:rFonts w:asciiTheme="majorHAnsi" w:hAnsiTheme="majorHAnsi"/>
          <w:sz w:val="16"/>
          <w:szCs w:val="16"/>
          <w:lang w:val="en-CA"/>
        </w:rPr>
      </w:pPr>
      <w:r w:rsidRPr="008C2C19">
        <w:rPr>
          <w:rStyle w:val="FootnoteReference"/>
          <w:rFonts w:asciiTheme="majorHAnsi" w:hAnsiTheme="majorHAnsi"/>
          <w:sz w:val="16"/>
          <w:szCs w:val="16"/>
        </w:rPr>
        <w:footnoteRef/>
      </w:r>
      <w:r w:rsidRPr="008C2C19">
        <w:rPr>
          <w:rFonts w:asciiTheme="majorHAnsi" w:hAnsiTheme="majorHAnsi"/>
          <w:sz w:val="16"/>
          <w:szCs w:val="16"/>
        </w:rPr>
        <w:t xml:space="preserve"> </w:t>
      </w:r>
      <w:proofErr w:type="spellStart"/>
      <w:proofErr w:type="gramStart"/>
      <w:r w:rsidRPr="008C2C19">
        <w:rPr>
          <w:rFonts w:asciiTheme="majorHAnsi" w:hAnsiTheme="majorHAnsi"/>
          <w:sz w:val="16"/>
          <w:szCs w:val="16"/>
          <w:lang w:val="en-CA"/>
        </w:rPr>
        <w:t>KFN</w:t>
      </w:r>
      <w:proofErr w:type="spellEnd"/>
      <w:r w:rsidRPr="008C2C19">
        <w:rPr>
          <w:rFonts w:asciiTheme="majorHAnsi" w:hAnsiTheme="majorHAnsi"/>
          <w:sz w:val="16"/>
          <w:szCs w:val="16"/>
          <w:lang w:val="en-CA"/>
        </w:rPr>
        <w:t xml:space="preserve">, at </w:t>
      </w:r>
      <w:proofErr w:type="spellStart"/>
      <w:r w:rsidRPr="008C2C19">
        <w:rPr>
          <w:rFonts w:asciiTheme="majorHAnsi" w:hAnsiTheme="majorHAnsi"/>
          <w:sz w:val="16"/>
          <w:szCs w:val="16"/>
          <w:lang w:val="en-CA"/>
        </w:rPr>
        <w:t>para</w:t>
      </w:r>
      <w:proofErr w:type="spellEnd"/>
      <w:r w:rsidRPr="008C2C19">
        <w:rPr>
          <w:rFonts w:asciiTheme="majorHAnsi" w:hAnsiTheme="majorHAnsi"/>
          <w:sz w:val="16"/>
          <w:szCs w:val="16"/>
          <w:lang w:val="en-CA"/>
        </w:rPr>
        <w:t xml:space="preserve"> 23.</w:t>
      </w:r>
      <w:proofErr w:type="gramEnd"/>
      <w:r w:rsidRPr="008C2C19">
        <w:rPr>
          <w:rFonts w:asciiTheme="majorHAnsi" w:hAnsiTheme="majorHAnsi"/>
          <w:sz w:val="16"/>
          <w:szCs w:val="16"/>
          <w:lang w:val="en-CA"/>
        </w:rPr>
        <w:t xml:space="preserve"> See also, </w:t>
      </w:r>
      <w:r w:rsidRPr="008C2C19">
        <w:rPr>
          <w:rFonts w:asciiTheme="majorHAnsi" w:hAnsiTheme="majorHAnsi"/>
          <w:i/>
          <w:iCs/>
          <w:sz w:val="16"/>
          <w:szCs w:val="16"/>
        </w:rPr>
        <w:t xml:space="preserve">British Columbia (Public Service Employee Relations Commission) v. </w:t>
      </w:r>
      <w:proofErr w:type="spellStart"/>
      <w:r w:rsidRPr="008C2C19">
        <w:rPr>
          <w:rFonts w:asciiTheme="majorHAnsi" w:hAnsiTheme="majorHAnsi"/>
          <w:i/>
          <w:iCs/>
          <w:sz w:val="16"/>
          <w:szCs w:val="16"/>
        </w:rPr>
        <w:t>BCGSEU</w:t>
      </w:r>
      <w:proofErr w:type="spellEnd"/>
      <w:r w:rsidRPr="008C2C19">
        <w:rPr>
          <w:rFonts w:asciiTheme="majorHAnsi" w:hAnsiTheme="majorHAnsi"/>
          <w:sz w:val="16"/>
          <w:szCs w:val="16"/>
        </w:rPr>
        <w:t xml:space="preserve">, [1999] 3 </w:t>
      </w:r>
      <w:proofErr w:type="spellStart"/>
      <w:r w:rsidRPr="008C2C19">
        <w:rPr>
          <w:rFonts w:asciiTheme="majorHAnsi" w:hAnsiTheme="majorHAnsi"/>
          <w:sz w:val="16"/>
          <w:szCs w:val="16"/>
        </w:rPr>
        <w:t>S.C.R.</w:t>
      </w:r>
      <w:proofErr w:type="spellEnd"/>
      <w:r w:rsidRPr="008C2C19">
        <w:rPr>
          <w:rFonts w:asciiTheme="majorHAnsi" w:hAnsiTheme="majorHAnsi"/>
          <w:sz w:val="16"/>
          <w:szCs w:val="16"/>
        </w:rPr>
        <w:t xml:space="preserve"> 3.</w:t>
      </w:r>
    </w:p>
  </w:footnote>
  <w:footnote w:id="7">
    <w:p w:rsidR="008C2C19" w:rsidRPr="008C2C19" w:rsidRDefault="008C2C19" w:rsidP="008C2C19">
      <w:pPr>
        <w:pStyle w:val="FootnoteText"/>
        <w:rPr>
          <w:sz w:val="16"/>
          <w:szCs w:val="16"/>
          <w:lang w:val="en-CA"/>
        </w:rPr>
      </w:pPr>
      <w:r w:rsidRPr="008C2C19">
        <w:rPr>
          <w:rStyle w:val="FootnoteReference"/>
          <w:rFonts w:asciiTheme="majorHAnsi" w:hAnsiTheme="majorHAnsi"/>
          <w:sz w:val="16"/>
          <w:szCs w:val="16"/>
        </w:rPr>
        <w:footnoteRef/>
      </w:r>
      <w:r w:rsidRPr="008C2C19">
        <w:rPr>
          <w:rFonts w:asciiTheme="majorHAnsi" w:hAnsiTheme="majorHAnsi"/>
          <w:sz w:val="16"/>
          <w:szCs w:val="16"/>
        </w:rPr>
        <w:t xml:space="preserve"> See </w:t>
      </w:r>
      <w:proofErr w:type="spellStart"/>
      <w:r w:rsidRPr="008C2C19">
        <w:rPr>
          <w:rFonts w:asciiTheme="majorHAnsi" w:hAnsiTheme="majorHAnsi"/>
          <w:i/>
          <w:iCs/>
          <w:sz w:val="16"/>
          <w:szCs w:val="16"/>
        </w:rPr>
        <w:t>Corbiere</w:t>
      </w:r>
      <w:proofErr w:type="spellEnd"/>
      <w:r w:rsidRPr="008C2C19">
        <w:rPr>
          <w:rFonts w:asciiTheme="majorHAnsi" w:hAnsiTheme="majorHAnsi"/>
          <w:i/>
          <w:iCs/>
          <w:sz w:val="16"/>
          <w:szCs w:val="16"/>
        </w:rPr>
        <w:t xml:space="preserve"> v. Canada (Minister of Indian and Northern Affairs)</w:t>
      </w:r>
      <w:r w:rsidRPr="008C2C19">
        <w:rPr>
          <w:rFonts w:asciiTheme="majorHAnsi" w:hAnsiTheme="majorHAnsi"/>
          <w:sz w:val="16"/>
          <w:szCs w:val="16"/>
        </w:rPr>
        <w:t>,</w:t>
      </w:r>
      <w:r w:rsidRPr="008C2C19">
        <w:rPr>
          <w:rFonts w:asciiTheme="majorHAnsi" w:hAnsiTheme="majorHAnsi"/>
          <w:i/>
          <w:iCs/>
          <w:sz w:val="16"/>
          <w:szCs w:val="16"/>
        </w:rPr>
        <w:t xml:space="preserve"> </w:t>
      </w:r>
      <w:r w:rsidRPr="008C2C19">
        <w:rPr>
          <w:rFonts w:asciiTheme="majorHAnsi" w:hAnsiTheme="majorHAnsi"/>
          <w:sz w:val="16"/>
          <w:szCs w:val="16"/>
        </w:rPr>
        <w:t xml:space="preserve">[1999] 2 </w:t>
      </w:r>
      <w:proofErr w:type="spellStart"/>
      <w:r w:rsidRPr="008C2C19">
        <w:rPr>
          <w:rFonts w:asciiTheme="majorHAnsi" w:hAnsiTheme="majorHAnsi"/>
          <w:sz w:val="16"/>
          <w:szCs w:val="16"/>
        </w:rPr>
        <w:t>S.C.R.</w:t>
      </w:r>
      <w:proofErr w:type="spellEnd"/>
      <w:r w:rsidRPr="008C2C19">
        <w:rPr>
          <w:rFonts w:asciiTheme="majorHAnsi" w:hAnsiTheme="majorHAnsi"/>
          <w:sz w:val="16"/>
          <w:szCs w:val="16"/>
        </w:rPr>
        <w:t xml:space="preserve"> 203.</w:t>
      </w:r>
      <w:r w:rsidRPr="008C2C19">
        <w:rPr>
          <w:sz w:val="16"/>
          <w:szCs w:val="16"/>
        </w:rPr>
        <w:t xml:space="preserve"> </w:t>
      </w:r>
    </w:p>
  </w:footnote>
  <w:footnote w:id="8">
    <w:p w:rsidR="008C2C19" w:rsidRPr="00DA4E84" w:rsidRDefault="008C2C19" w:rsidP="008C2C19">
      <w:pPr>
        <w:pStyle w:val="FootnoteText"/>
        <w:rPr>
          <w:rFonts w:asciiTheme="majorHAnsi" w:hAnsiTheme="majorHAnsi"/>
          <w:lang w:val="en-CA"/>
        </w:rPr>
      </w:pPr>
      <w:r w:rsidRPr="008C2C19">
        <w:rPr>
          <w:rStyle w:val="FootnoteReference"/>
          <w:rFonts w:asciiTheme="majorHAnsi" w:hAnsiTheme="majorHAnsi"/>
          <w:sz w:val="16"/>
          <w:szCs w:val="16"/>
        </w:rPr>
        <w:footnoteRef/>
      </w:r>
      <w:r w:rsidRPr="008C2C19">
        <w:rPr>
          <w:rFonts w:asciiTheme="majorHAnsi" w:hAnsiTheme="majorHAnsi"/>
          <w:sz w:val="16"/>
          <w:szCs w:val="16"/>
        </w:rPr>
        <w:t xml:space="preserve"> </w:t>
      </w:r>
      <w:proofErr w:type="spellStart"/>
      <w:proofErr w:type="gramStart"/>
      <w:r w:rsidRPr="008C2C19">
        <w:rPr>
          <w:rFonts w:asciiTheme="majorHAnsi" w:hAnsiTheme="majorHAnsi"/>
          <w:sz w:val="16"/>
          <w:szCs w:val="16"/>
          <w:lang w:val="en-CA"/>
        </w:rPr>
        <w:t>KFN</w:t>
      </w:r>
      <w:proofErr w:type="spellEnd"/>
      <w:r w:rsidRPr="008C2C19">
        <w:rPr>
          <w:rFonts w:asciiTheme="majorHAnsi" w:hAnsiTheme="majorHAnsi"/>
          <w:sz w:val="16"/>
          <w:szCs w:val="16"/>
          <w:lang w:val="en-CA"/>
        </w:rPr>
        <w:t xml:space="preserve">, at </w:t>
      </w:r>
      <w:proofErr w:type="spellStart"/>
      <w:r w:rsidRPr="008C2C19">
        <w:rPr>
          <w:rFonts w:asciiTheme="majorHAnsi" w:hAnsiTheme="majorHAnsi"/>
          <w:sz w:val="16"/>
          <w:szCs w:val="16"/>
          <w:lang w:val="en-CA"/>
        </w:rPr>
        <w:t>para</w:t>
      </w:r>
      <w:proofErr w:type="spellEnd"/>
      <w:r w:rsidRPr="008C2C19">
        <w:rPr>
          <w:rFonts w:asciiTheme="majorHAnsi" w:hAnsiTheme="majorHAnsi"/>
          <w:sz w:val="16"/>
          <w:szCs w:val="16"/>
          <w:lang w:val="en-CA"/>
        </w:rPr>
        <w:t xml:space="preserve"> 24.</w:t>
      </w:r>
      <w:proofErr w:type="gramEnd"/>
      <w:r w:rsidRPr="008C2C19">
        <w:rPr>
          <w:rFonts w:asciiTheme="majorHAnsi" w:hAnsiTheme="majorHAnsi"/>
          <w:sz w:val="16"/>
          <w:szCs w:val="16"/>
          <w:lang w:val="en-CA"/>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C2C19"/>
    <w:rsid w:val="000110F7"/>
    <w:rsid w:val="004011F1"/>
    <w:rsid w:val="008C2C19"/>
    <w:rsid w:val="00F343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2C19"/>
    <w:rPr>
      <w:sz w:val="20"/>
      <w:szCs w:val="20"/>
    </w:rPr>
  </w:style>
  <w:style w:type="character" w:customStyle="1" w:styleId="FootnoteTextChar">
    <w:name w:val="Footnote Text Char"/>
    <w:basedOn w:val="DefaultParagraphFont"/>
    <w:link w:val="FootnoteText"/>
    <w:uiPriority w:val="99"/>
    <w:semiHidden/>
    <w:rsid w:val="008C2C1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C2C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Mason</dc:creator>
  <cp:lastModifiedBy>Caitlin Mason</cp:lastModifiedBy>
  <cp:revision>1</cp:revision>
  <dcterms:created xsi:type="dcterms:W3CDTF">2015-06-01T16:19:00Z</dcterms:created>
  <dcterms:modified xsi:type="dcterms:W3CDTF">2015-06-01T16:23:00Z</dcterms:modified>
</cp:coreProperties>
</file>